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57EB" w14:textId="77777777" w:rsidR="00E7286A" w:rsidRPr="00376098" w:rsidRDefault="00E7286A" w:rsidP="00376098">
      <w:pPr>
        <w:pStyle w:val="Nessunaspaziatura"/>
        <w:jc w:val="center"/>
        <w:rPr>
          <w:b/>
          <w:sz w:val="48"/>
          <w:szCs w:val="48"/>
          <w:lang w:eastAsia="it-IT"/>
        </w:rPr>
      </w:pPr>
      <w:bookmarkStart w:id="0" w:name="_GoBack"/>
      <w:bookmarkEnd w:id="0"/>
      <w:r w:rsidRPr="00376098">
        <w:rPr>
          <w:b/>
          <w:sz w:val="48"/>
          <w:szCs w:val="48"/>
          <w:lang w:eastAsia="it-IT"/>
        </w:rPr>
        <w:t>NAPOLI HOLDING SRL</w:t>
      </w:r>
    </w:p>
    <w:p w14:paraId="5804B9FF" w14:textId="77777777" w:rsidR="00E7286A" w:rsidRPr="00E7286A" w:rsidRDefault="00E7286A" w:rsidP="00E7286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before="120" w:after="120" w:line="24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E72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Società con unico socio Comune di Napoli</w:t>
      </w:r>
    </w:p>
    <w:p w14:paraId="48604D91" w14:textId="77777777" w:rsidR="00E7286A" w:rsidRPr="00E7286A" w:rsidRDefault="00E7286A" w:rsidP="00E7286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120" w:line="240" w:lineRule="atLeast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72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Società soggetta ad attività di direzione e coordinamento del Comune di Napoli</w:t>
      </w:r>
    </w:p>
    <w:p w14:paraId="318C9D07" w14:textId="77777777" w:rsidR="00E7286A" w:rsidRPr="00E7286A" w:rsidRDefault="00E7286A" w:rsidP="00E7286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before="120" w:after="0" w:line="240" w:lineRule="atLeast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7286A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Sede in NAPOLI - VIA G.B. MARINO, 1 NAPOLI NA)</w:t>
      </w:r>
    </w:p>
    <w:p w14:paraId="7A70D7DA" w14:textId="0EC0A7FD" w:rsidR="00E7286A" w:rsidRPr="00E7286A" w:rsidRDefault="00E7286A" w:rsidP="00E7286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7286A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Capitale Sociale versato </w:t>
      </w:r>
      <w:r w:rsidR="00DE1429" w:rsidRPr="00E7286A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euro</w:t>
      </w:r>
      <w:r w:rsidRPr="00E7286A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15.262.735,00</w:t>
      </w:r>
    </w:p>
    <w:p w14:paraId="5615BCE1" w14:textId="77777777" w:rsidR="00E7286A" w:rsidRPr="00E7286A" w:rsidRDefault="00E7286A" w:rsidP="00E7286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7286A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Iscritto alla C.C.I.A.A. di NAPOLI</w:t>
      </w:r>
    </w:p>
    <w:p w14:paraId="1AFBF927" w14:textId="6C20CFB1" w:rsidR="00E7286A" w:rsidRPr="00E7286A" w:rsidRDefault="00E7286A" w:rsidP="00E7286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7286A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Codice Fiscale e N. iscrizione Registro </w:t>
      </w:r>
      <w:r w:rsidR="00DE1429" w:rsidRPr="00E7286A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Imprese 07942440632</w:t>
      </w:r>
    </w:p>
    <w:p w14:paraId="4F9218D8" w14:textId="62D35F9E" w:rsidR="00E7286A" w:rsidRPr="00E7286A" w:rsidRDefault="00E7286A" w:rsidP="00E7286A">
      <w:pPr>
        <w:spacing w:after="0" w:line="240" w:lineRule="atLeast"/>
        <w:ind w:firstLine="567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7286A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Partita IVA: </w:t>
      </w:r>
      <w:r w:rsidR="00DE1429" w:rsidRPr="00E7286A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07942440632 -</w:t>
      </w:r>
      <w:r w:rsidRPr="00E7286A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N. Rea: NA682806 </w:t>
      </w:r>
    </w:p>
    <w:p w14:paraId="32D001D8" w14:textId="32E3DBE6" w:rsidR="00E7286A" w:rsidRPr="00E7286A" w:rsidRDefault="00E804A6" w:rsidP="00E7286A">
      <w:pPr>
        <w:spacing w:after="0" w:line="454" w:lineRule="atLeast"/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  <w:r>
        <w:rPr>
          <w:rFonts w:ascii="Arial" w:eastAsia="Times New Roman" w:hAnsi="Arial" w:cs="Arial"/>
          <w:b/>
          <w:bCs/>
          <w:u w:val="single"/>
          <w:lang w:eastAsia="it-IT"/>
        </w:rPr>
        <w:t xml:space="preserve">RELAZIONE SULLA </w:t>
      </w:r>
      <w:r w:rsidR="00717C7A" w:rsidRPr="00E7286A">
        <w:rPr>
          <w:rFonts w:ascii="Arial" w:eastAsia="Times New Roman" w:hAnsi="Arial" w:cs="Arial"/>
          <w:b/>
          <w:bCs/>
          <w:u w:val="single"/>
          <w:lang w:eastAsia="it-IT"/>
        </w:rPr>
        <w:t>SITUAZIONE ECONOMICO</w:t>
      </w:r>
      <w:r w:rsidR="00E7286A" w:rsidRPr="00E7286A">
        <w:rPr>
          <w:rFonts w:ascii="Arial" w:eastAsia="Times New Roman" w:hAnsi="Arial" w:cs="Arial"/>
          <w:b/>
          <w:bCs/>
          <w:u w:val="single"/>
          <w:lang w:eastAsia="it-IT"/>
        </w:rPr>
        <w:t xml:space="preserve"> – PATRIMONIALE  </w:t>
      </w:r>
      <w:r w:rsidR="00F07436">
        <w:rPr>
          <w:rFonts w:ascii="Arial" w:eastAsia="Times New Roman" w:hAnsi="Arial" w:cs="Arial"/>
          <w:b/>
          <w:bCs/>
          <w:u w:val="single"/>
          <w:lang w:eastAsia="it-IT"/>
        </w:rPr>
        <w:t xml:space="preserve">30 </w:t>
      </w:r>
      <w:r w:rsidR="00B709E5">
        <w:rPr>
          <w:rFonts w:ascii="Arial" w:eastAsia="Times New Roman" w:hAnsi="Arial" w:cs="Arial"/>
          <w:b/>
          <w:bCs/>
          <w:u w:val="single"/>
          <w:lang w:eastAsia="it-IT"/>
        </w:rPr>
        <w:t>novembre</w:t>
      </w:r>
      <w:r w:rsidR="00F07436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  <w:r w:rsidR="00717C7A">
        <w:rPr>
          <w:rFonts w:ascii="Arial" w:eastAsia="Times New Roman" w:hAnsi="Arial" w:cs="Arial"/>
          <w:b/>
          <w:bCs/>
          <w:u w:val="single"/>
          <w:lang w:eastAsia="it-IT"/>
        </w:rPr>
        <w:t>20</w:t>
      </w:r>
      <w:r w:rsidR="003723F6">
        <w:rPr>
          <w:rFonts w:ascii="Arial" w:eastAsia="Times New Roman" w:hAnsi="Arial" w:cs="Arial"/>
          <w:b/>
          <w:bCs/>
          <w:u w:val="single"/>
          <w:lang w:eastAsia="it-IT"/>
        </w:rPr>
        <w:t>20</w:t>
      </w:r>
    </w:p>
    <w:p w14:paraId="70E37A1B" w14:textId="77777777" w:rsidR="00E7286A" w:rsidRPr="00E7286A" w:rsidRDefault="00E7286A" w:rsidP="00E7286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Spett.le </w:t>
      </w:r>
      <w:r w:rsidR="00A1613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Socio Unico </w:t>
      </w: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Comune di Napoli,</w:t>
      </w:r>
    </w:p>
    <w:p w14:paraId="43450B40" w14:textId="10CEF80F" w:rsidR="006B1608" w:rsidRPr="006B1608" w:rsidRDefault="006B1608" w:rsidP="00F0743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</w:t>
      </w:r>
      <w:r w:rsidRPr="006B160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ebbene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progetto di bilancio del</w:t>
      </w:r>
      <w:r w:rsidRPr="006B160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l'esercizio 2019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evidenzi un </w:t>
      </w:r>
      <w:r w:rsidRPr="006B160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risultato positivo di gestione, l'utile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risultante alla data di chiusura del medesimo esercizio</w:t>
      </w:r>
      <w:r w:rsidRPr="006B160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pari ad euro 214.374, non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ha comportato </w:t>
      </w:r>
      <w:r w:rsidRPr="006B160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riduzione delle perdite pregresse, pari ad euro 9.901 mila, a meno di un terzo del capitale sociale, circostanza, quest'ultima, che determina la necessità, ai sensi e per gli effetti del comma 4 dell'art. 2482 bis del codice civile, da parte dell'assemblea convocata per l'approvazione del bilancio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2019</w:t>
      </w:r>
      <w:r w:rsidRPr="006B160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di provvedere alla riduzione del capitale in proporzione delle perdite accertate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6E2F0468" w14:textId="13F87DEF" w:rsidR="00E7286A" w:rsidRDefault="00E7286A" w:rsidP="00E7286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situazione economico-patrimoniale </w:t>
      </w:r>
      <w:r w:rsidR="00AC48C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relativa al periodo 01/01/20</w:t>
      </w:r>
      <w:r w:rsidR="00717C7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20</w:t>
      </w:r>
      <w:r w:rsidR="00AC48C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- </w:t>
      </w: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3</w:t>
      </w:r>
      <w:r w:rsidR="00AC48C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0</w:t>
      </w: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/</w:t>
      </w:r>
      <w:r w:rsidR="001409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11</w:t>
      </w: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/20</w:t>
      </w:r>
      <w:r w:rsidR="00717C7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20</w:t>
      </w:r>
      <w:r w:rsidR="00A1613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</w:t>
      </w: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evidenzia </w:t>
      </w:r>
      <w:r w:rsidR="008D2AE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un risultato positivo pari ad </w:t>
      </w:r>
      <w:r w:rsidR="00717C7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 w:rsidR="008D2AE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uro </w:t>
      </w:r>
      <w:r w:rsidR="00717C7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84.390</w:t>
      </w:r>
      <w:r w:rsidR="008D2AE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ed un capitale netto positivo pari ad </w:t>
      </w:r>
      <w:r w:rsidR="00717C7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uro</w:t>
      </w:r>
      <w:r w:rsidR="00717C7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717C7A" w:rsidRPr="00717C7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5.659.987</w:t>
      </w:r>
      <w:r w:rsidR="00DF3F1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717C7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come</w:t>
      </w: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riportato in allegato alla presente.</w:t>
      </w:r>
    </w:p>
    <w:p w14:paraId="1CC90424" w14:textId="735330A3" w:rsidR="000F63ED" w:rsidRDefault="00E7286A" w:rsidP="00E7286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presente situazione economico – patrimoniale recepisce le cautele sulle valutazioni effettuate in ragione dello stato</w:t>
      </w:r>
      <w:r w:rsidR="00CF09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di crisi della controllata A</w:t>
      </w:r>
      <w:r w:rsidR="001409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  <w:r w:rsidR="00CF09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N</w:t>
      </w:r>
      <w:r w:rsidR="001409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  <w:r w:rsidR="00CF09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M. </w:t>
      </w:r>
      <w:r w:rsidR="001409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S.P.A. </w:t>
      </w:r>
      <w:r w:rsidR="00CF09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In particolare, </w:t>
      </w:r>
      <w:r w:rsidR="00092F3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pur essendo intervenuto il decreto di omologa del concordato, </w:t>
      </w:r>
      <w:r w:rsidR="00CF09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valore</w:t>
      </w:r>
      <w:r w:rsidR="00CF0922" w:rsidRPr="00CF09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della partecipazione detenuta da Napoli Holding </w:t>
      </w:r>
      <w:r w:rsidR="00CF09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 A</w:t>
      </w:r>
      <w:r w:rsidR="001409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  <w:r w:rsidR="00CF09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N</w:t>
      </w:r>
      <w:r w:rsidR="0014090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.M. </w:t>
      </w:r>
      <w:r w:rsidR="000F63E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S.p.A. </w:t>
      </w:r>
      <w:r w:rsidR="00CF09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è </w:t>
      </w:r>
      <w:r w:rsidR="00092F3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riportato nella medesima situazione al valore zero in quanto il ripristino del valore di costo è necessariamente legato </w:t>
      </w:r>
      <w:r w:rsidR="006F0F5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ai </w:t>
      </w:r>
      <w:r w:rsidR="00092F3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flussi attesi che</w:t>
      </w:r>
      <w:r w:rsidR="008D508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="00092F3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allo stato</w:t>
      </w:r>
      <w:r w:rsidR="008D508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="00092F3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appaiono ancora incerti </w:t>
      </w:r>
      <w:r w:rsidR="006F0F5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anche </w:t>
      </w:r>
      <w:r w:rsidR="008D508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alla luce della </w:t>
      </w:r>
      <w:r w:rsidR="006F0F5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situazione scaturente dall’emergenza COVID</w:t>
      </w:r>
      <w:r w:rsidR="00092F3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66B0A461" w14:textId="6F0F2359" w:rsidR="00E65C0B" w:rsidRDefault="00863C95" w:rsidP="00E7286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i criteri di redazione, formazione e valutazione</w:t>
      </w:r>
      <w:r w:rsidR="008D508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della situazione economico patrimoni</w:t>
      </w:r>
      <w:r w:rsidR="003723F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="008D508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le alla data del 30 novembre 2020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si rinvia a quanto indicato nel progetto di bilancio 201</w:t>
      </w:r>
      <w:r w:rsidR="006F0F5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9</w:t>
      </w:r>
      <w:r w:rsidR="00E65C0B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219F0C22" w14:textId="531E6196" w:rsidR="00E7286A" w:rsidRDefault="00E7286A" w:rsidP="00E7286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Il risultato economico al </w:t>
      </w:r>
      <w:r w:rsidR="00863C9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30</w:t>
      </w:r>
      <w:r w:rsidR="0001641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novembre </w:t>
      </w:r>
      <w:r w:rsidR="005C02B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20</w:t>
      </w:r>
      <w:r w:rsidR="00CD47B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20</w:t>
      </w: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si compendia delle seguenti risultanze:</w:t>
      </w:r>
    </w:p>
    <w:tbl>
      <w:tblPr>
        <w:tblW w:w="4941" w:type="pct"/>
        <w:tblInd w:w="61" w:type="dxa"/>
        <w:tblCellMar>
          <w:top w:w="70" w:type="dxa"/>
          <w:left w:w="61" w:type="dxa"/>
          <w:bottom w:w="30" w:type="dxa"/>
          <w:right w:w="61" w:type="dxa"/>
        </w:tblCellMar>
        <w:tblLook w:val="0000" w:firstRow="0" w:lastRow="0" w:firstColumn="0" w:lastColumn="0" w:noHBand="0" w:noVBand="0"/>
      </w:tblPr>
      <w:tblGrid>
        <w:gridCol w:w="4472"/>
        <w:gridCol w:w="2379"/>
        <w:gridCol w:w="2235"/>
      </w:tblGrid>
      <w:tr w:rsidR="00E7286A" w:rsidRPr="008D2AE0" w14:paraId="1B973875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DA14798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45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Conto Economico riclassificato (migliaia di euro)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F448ADA" w14:textId="0F88D12D" w:rsidR="00E7286A" w:rsidRPr="008D2AE0" w:rsidRDefault="00092F31" w:rsidP="00092F31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30/11</w:t>
            </w:r>
            <w:r w:rsidR="00E65C0B"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/20</w:t>
            </w:r>
            <w:r w:rsidR="00ED5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8FB81E" w14:textId="35DAEC54" w:rsidR="00E7286A" w:rsidRPr="008D2AE0" w:rsidRDefault="00863C95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31/12/201</w:t>
            </w:r>
            <w:r w:rsidR="00ED5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</w:t>
            </w:r>
          </w:p>
        </w:tc>
      </w:tr>
      <w:tr w:rsidR="00E7286A" w:rsidRPr="008D2AE0" w14:paraId="5435CB01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DA704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Ricavi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CF503" w14:textId="67D59BD0" w:rsidR="00E7286A" w:rsidRPr="008D2AE0" w:rsidRDefault="009D2495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93.</w:t>
            </w:r>
            <w:r w:rsidR="00144AF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818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01C2D" w14:textId="36E0DB61" w:rsidR="00E7286A" w:rsidRPr="008D2AE0" w:rsidRDefault="00F258ED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102.1</w:t>
            </w:r>
            <w:r w:rsidR="00CC1D9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77</w:t>
            </w:r>
          </w:p>
        </w:tc>
      </w:tr>
      <w:tr w:rsidR="00E7286A" w:rsidRPr="008D2AE0" w14:paraId="7B555876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9CB58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Altri ricavi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AAA9D" w14:textId="63BE30EA" w:rsidR="00E7286A" w:rsidRPr="008D2AE0" w:rsidRDefault="009D2495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21</w:t>
            </w:r>
            <w:r w:rsidR="00144AF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012FE" w14:textId="1A3B67A7" w:rsidR="00E7286A" w:rsidRPr="008D2AE0" w:rsidRDefault="00063F1F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1.1</w:t>
            </w:r>
            <w:r w:rsidR="00CC1D9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63</w:t>
            </w:r>
          </w:p>
        </w:tc>
      </w:tr>
      <w:tr w:rsidR="00E7286A" w:rsidRPr="008D2AE0" w14:paraId="5D5FC01B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F9DEE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Valore della produzione 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A7F11" w14:textId="15837799" w:rsidR="00E7286A" w:rsidRPr="008D2AE0" w:rsidRDefault="009D2495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9</w:t>
            </w:r>
            <w:r w:rsidR="009512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  <w:r w:rsidR="00144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031</w:t>
            </w:r>
            <w:r w:rsidR="00E7286A"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796D37" w14:textId="15BBD121" w:rsidR="00E7286A" w:rsidRPr="008D2AE0" w:rsidRDefault="00CC1D91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103.340</w:t>
            </w:r>
            <w:r w:rsidR="00E7286A"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E7286A" w:rsidRPr="008D2AE0" w14:paraId="4B87F5AB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9B695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Costi Operativi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E45C0" w14:textId="5AD9A680" w:rsidR="00E7286A" w:rsidRPr="008D2AE0" w:rsidRDefault="009D2495" w:rsidP="009D2495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93.</w:t>
            </w:r>
            <w:r w:rsidR="009512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564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6A57F" w14:textId="4A6E0491" w:rsidR="00E7286A" w:rsidRPr="008D2AE0" w:rsidRDefault="000C2197" w:rsidP="000C2197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10</w:t>
            </w:r>
            <w:r w:rsidR="00CC1D9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2</w:t>
            </w:r>
            <w:r w:rsidRPr="008D2AE0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  <w:r w:rsidR="00CC1D9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076</w:t>
            </w:r>
          </w:p>
        </w:tc>
      </w:tr>
      <w:tr w:rsidR="00E7286A" w:rsidRPr="008D2AE0" w14:paraId="393FA6A5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8769D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Valore Aggiunto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B488B" w14:textId="66EA3D46" w:rsidR="00E7286A" w:rsidRPr="008D2AE0" w:rsidRDefault="00951238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467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AB85C" w14:textId="0D3AC307" w:rsidR="00E7286A" w:rsidRPr="008D2AE0" w:rsidRDefault="00CC1D91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1.264</w:t>
            </w:r>
          </w:p>
        </w:tc>
      </w:tr>
      <w:tr w:rsidR="00E7286A" w:rsidRPr="008D2AE0" w14:paraId="3DFFA074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8E048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Costi del personale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109EA" w14:textId="611B38E7" w:rsidR="00E7286A" w:rsidRPr="008D2AE0" w:rsidRDefault="00E7286A" w:rsidP="005F139C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9512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148</w:t>
            </w: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63518" w14:textId="60E76AD7" w:rsidR="00E7286A" w:rsidRPr="008D2AE0" w:rsidRDefault="00CC1D91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200</w:t>
            </w:r>
            <w:r w:rsidR="00E7286A"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E7286A" w:rsidRPr="008D2AE0" w14:paraId="267DE85A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B479A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EBITDA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6A108" w14:textId="7B8A676C" w:rsidR="00E7286A" w:rsidRPr="008D2AE0" w:rsidRDefault="00951238" w:rsidP="00BA3F73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319</w:t>
            </w:r>
            <w:r w:rsidR="00E7286A"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C91B0" w14:textId="21AD4817" w:rsidR="00E7286A" w:rsidRPr="008D2AE0" w:rsidRDefault="00E7286A" w:rsidP="000C2197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E374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1.064</w:t>
            </w: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7286A" w:rsidRPr="008D2AE0" w14:paraId="248972EA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78F40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Ammortamenti e accantonamenti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F59D3" w14:textId="1D348346" w:rsidR="00E7286A" w:rsidRPr="008D2AE0" w:rsidRDefault="00E7286A" w:rsidP="005F139C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9512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199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5C9BF" w14:textId="3A5B5C41" w:rsidR="00E7286A" w:rsidRPr="008D2AE0" w:rsidRDefault="00CC1D91" w:rsidP="000C2197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  <w:r w:rsidR="00E374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30</w:t>
            </w:r>
            <w:r w:rsidR="00E7286A"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E7286A" w:rsidRPr="008D2AE0" w14:paraId="31BEA955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A3C45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EBIT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704EC" w14:textId="722E3FE2" w:rsidR="00E7286A" w:rsidRPr="008D2AE0" w:rsidRDefault="00951238" w:rsidP="005F139C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120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4B41D" w14:textId="3655BFF3" w:rsidR="00E7286A" w:rsidRPr="008D2AE0" w:rsidRDefault="00E3743B" w:rsidP="000C2197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234</w:t>
            </w:r>
            <w:r w:rsidR="00E7286A"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7286A" w:rsidRPr="008D2AE0" w14:paraId="74684B2B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72F1D3" w14:textId="4BA5981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Gestione finanziaria e rettifiche att. </w:t>
            </w:r>
            <w:r w:rsidR="00CD47B2"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</w:t>
            </w: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inanziarie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42497" w14:textId="77777777" w:rsidR="00E7286A" w:rsidRPr="008D2AE0" w:rsidRDefault="00BA3F73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  <w:r w:rsidR="00E7286A"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C6EEC" w14:textId="6F0A0867" w:rsidR="00E7286A" w:rsidRPr="008D2AE0" w:rsidRDefault="00E3743B" w:rsidP="00F258ED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</w:t>
            </w:r>
            <w:r w:rsidR="00E7286A"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E7286A" w:rsidRPr="008D2AE0" w14:paraId="000A615C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89EFD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Risultato lordo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83F2E" w14:textId="5005693B" w:rsidR="00E7286A" w:rsidRPr="008D2AE0" w:rsidRDefault="00E7286A" w:rsidP="005F139C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5F139C"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</w:t>
            </w:r>
            <w:r w:rsidR="009512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</w:t>
            </w: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C9770" w14:textId="44313DE6" w:rsidR="00E7286A" w:rsidRPr="008D2AE0" w:rsidRDefault="00E3743B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234</w:t>
            </w:r>
            <w:r w:rsidR="00E7286A"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7286A" w:rsidRPr="008D2AE0" w14:paraId="4394F0C8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5A658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Imposte sul reddito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B3FFB" w14:textId="3578F8F1" w:rsidR="00E7286A" w:rsidRPr="008D2AE0" w:rsidRDefault="00E7286A" w:rsidP="005F139C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95123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</w:t>
            </w: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268A1" w14:textId="6790606D" w:rsidR="00E7286A" w:rsidRPr="008D2AE0" w:rsidRDefault="00E7286A" w:rsidP="00F258ED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374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</w:t>
            </w:r>
            <w:r w:rsidRPr="008D2AE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E7286A" w:rsidRPr="00E7286A" w14:paraId="0C4CAA56" w14:textId="77777777" w:rsidTr="008D2AE0">
        <w:tc>
          <w:tcPr>
            <w:tcW w:w="2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3E61215" w14:textId="77777777" w:rsidR="00E7286A" w:rsidRPr="008D2AE0" w:rsidRDefault="00E7286A" w:rsidP="00E7286A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Risultato netto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C5078E8" w14:textId="77F39C77" w:rsidR="00E7286A" w:rsidRPr="008D2AE0" w:rsidRDefault="00E7286A" w:rsidP="00BA3F73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9512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63B4ED8" w14:textId="68914B89" w:rsidR="00E7286A" w:rsidRPr="008D2AE0" w:rsidRDefault="00F258ED" w:rsidP="000C2197">
            <w:pPr>
              <w:widowControl w:val="0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</w:tabs>
              <w:autoSpaceDE w:val="0"/>
              <w:autoSpaceDN w:val="0"/>
              <w:adjustRightInd w:val="0"/>
              <w:spacing w:after="0" w:line="200" w:lineRule="atLeast"/>
              <w:ind w:right="113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E374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214</w:t>
            </w:r>
            <w:r w:rsidR="00E7286A" w:rsidRPr="008D2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14:paraId="742F4E00" w14:textId="61EAECB9" w:rsidR="00E7286A" w:rsidRDefault="00E7286A" w:rsidP="00E7286A">
      <w:pPr>
        <w:spacing w:before="120" w:after="0" w:line="360" w:lineRule="auto"/>
        <w:ind w:right="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situazione patrimoniale al </w:t>
      </w:r>
      <w:r w:rsidR="0001641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30 novembre</w:t>
      </w:r>
      <w:r w:rsidR="00863C9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20</w:t>
      </w:r>
      <w:r w:rsidR="00CD47B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20</w:t>
      </w: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si compendia </w:t>
      </w:r>
      <w:r w:rsidR="003127F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come segue</w:t>
      </w:r>
      <w:r w:rsidR="00CF092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500"/>
        <w:gridCol w:w="1193"/>
      </w:tblGrid>
      <w:tr w:rsidR="00CD47B2" w:rsidRPr="00CD47B2" w14:paraId="2FF48C78" w14:textId="77777777" w:rsidTr="00CD47B2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D3886A0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Situazione patrimoniale (migliaia di euro)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91A51A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30/11/2020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77D5BF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31/12/2019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24FF19A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Differenza</w:t>
            </w:r>
          </w:p>
        </w:tc>
      </w:tr>
      <w:tr w:rsidR="00CD47B2" w:rsidRPr="00CD47B2" w14:paraId="08D40C66" w14:textId="77777777" w:rsidTr="00CD47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75A32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Impieghi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1AA2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BD66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D854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D47B2" w:rsidRPr="00CD47B2" w14:paraId="392A9B40" w14:textId="77777777" w:rsidTr="00CD47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C5E86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Attività fisse (AF)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320BC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8EE9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467A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-74</w:t>
            </w:r>
          </w:p>
        </w:tc>
      </w:tr>
      <w:tr w:rsidR="00CD47B2" w:rsidRPr="00CD47B2" w14:paraId="4B9E351D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B36D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Immobil. Immateriali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9E2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7269" w14:textId="77777777" w:rsidR="00CD47B2" w:rsidRPr="00CD47B2" w:rsidRDefault="00CD47B2" w:rsidP="00CD47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1C8" w14:textId="77777777" w:rsidR="00CD47B2" w:rsidRPr="00CD47B2" w:rsidRDefault="00CD47B2" w:rsidP="00CD47B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D47B2" w:rsidRPr="00CD47B2" w14:paraId="46F6CBB6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831D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Immobil. Tecniche fisse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A064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E049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70F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10D9EC35" w14:textId="77777777" w:rsidTr="00CD47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E6FA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Immobil. Finanziarie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C0D6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          -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BE8B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               -  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8416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6D36D68F" w14:textId="77777777" w:rsidTr="00CD47B2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757CF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Capitale circolante netto (CCN)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4B06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1.762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E475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2.825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3256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-1.295</w:t>
            </w:r>
          </w:p>
        </w:tc>
      </w:tr>
      <w:tr w:rsidR="00CD47B2" w:rsidRPr="00CD47B2" w14:paraId="04042071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0ED1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Crediti commerciali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4881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8250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FDDF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0B949772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4D05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Crediti verso controllanti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749B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71.529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5C90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105.694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CB4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1B7D8B4F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B0C7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Crediti verso controllate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9D41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B415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71EE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36B11CC7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12FE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Altri crediti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6415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29E2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1.117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C0B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64BC29ED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BC69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Debiti commerciali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D1DF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4E06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-603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93D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31A98560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511A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Debiti verso controllate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0A6B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-69.877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78A5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-103.546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09C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573079B7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9282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Altri debiti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6EE0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6590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-244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0526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147ED87B" w14:textId="77777777" w:rsidTr="00CD47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4582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Ratei e Risconti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78DF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EB89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CF98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1B47963F" w14:textId="77777777" w:rsidTr="00CD47B2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143AD7D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capitale investito netto (CI)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638732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2.144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4693DC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3.282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BA31ACA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-1.369</w:t>
            </w:r>
          </w:p>
        </w:tc>
      </w:tr>
      <w:tr w:rsidR="00CD47B2" w:rsidRPr="00CD47B2" w14:paraId="4DC4C582" w14:textId="77777777" w:rsidTr="00CD47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A0B7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Fonti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5E4D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974E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2AF6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D47B2" w:rsidRPr="00CD47B2" w14:paraId="57F0CEE9" w14:textId="77777777" w:rsidTr="00CD47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E828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Patrimonio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C0C38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5.660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D70F8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5.576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3D5E0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151</w:t>
            </w:r>
          </w:p>
        </w:tc>
      </w:tr>
      <w:tr w:rsidR="00CD47B2" w:rsidRPr="00CD47B2" w14:paraId="1004D08F" w14:textId="77777777" w:rsidTr="00CD47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A6FF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6320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C77FA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371E3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225</w:t>
            </w:r>
          </w:p>
        </w:tc>
      </w:tr>
      <w:tr w:rsidR="00CD47B2" w:rsidRPr="00CD47B2" w14:paraId="151FC6C5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AF2E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Fondi per rischi e oneri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3826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EBBC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74A5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66CAA856" w14:textId="77777777" w:rsidTr="00CD47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2B76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TFR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53B0B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BB22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F2A5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D47B2" w:rsidRPr="00CD47B2" w14:paraId="2AA97143" w14:textId="77777777" w:rsidTr="00CD47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E9F3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Posizione finanziaria netta (PFN)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C8AB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-4.061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4D91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-2.953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A0D9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-1.745</w:t>
            </w:r>
          </w:p>
        </w:tc>
      </w:tr>
      <w:tr w:rsidR="00CD47B2" w:rsidRPr="00CD47B2" w14:paraId="7AB3C1FC" w14:textId="77777777" w:rsidTr="00CD47B2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D54E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Disponibilità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F37E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00AA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2.953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612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D47B2" w:rsidRPr="00CD47B2" w14:paraId="0736E7B2" w14:textId="77777777" w:rsidTr="00CD47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D25CB65" w14:textId="77777777" w:rsidR="00CD47B2" w:rsidRPr="00CD47B2" w:rsidRDefault="00CD47B2" w:rsidP="00CD47B2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fonti (FON)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DF8BC6F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3.275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A61A087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4.644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2E582958" w14:textId="77777777" w:rsidR="00CD47B2" w:rsidRPr="00CD47B2" w:rsidRDefault="00CD47B2" w:rsidP="00CD47B2">
            <w:pPr>
              <w:spacing w:after="0" w:line="24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-1.369</w:t>
            </w:r>
          </w:p>
        </w:tc>
      </w:tr>
    </w:tbl>
    <w:p w14:paraId="52922809" w14:textId="6FEA79FE" w:rsidR="00E7286A" w:rsidRPr="00E7286A" w:rsidRDefault="00C01AB8" w:rsidP="00E7286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Alla luce di quanto precede</w:t>
      </w:r>
      <w:r w:rsidR="00487FA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invitiamo il Socio Unico Comune di Napoli </w:t>
      </w:r>
      <w:r w:rsidR="000F63E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deliberare la </w:t>
      </w:r>
      <w:r w:rsidR="00A1613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riduzione, </w:t>
      </w:r>
      <w:r w:rsidR="00A1613D" w:rsidRPr="00A1613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ai sensi e per gli effetti dell’art. </w:t>
      </w:r>
      <w:r w:rsidR="00C25832" w:rsidRPr="00A1613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2482 bis, comma </w:t>
      </w:r>
      <w:r w:rsidR="00951238" w:rsidRPr="00A1613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4, del</w:t>
      </w:r>
      <w:r w:rsidR="00C25832" w:rsidRPr="00A1613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codice civile</w:t>
      </w:r>
      <w:r w:rsidR="00C258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del capitale sociale in proporzione delle perdite </w:t>
      </w:r>
      <w:r w:rsidR="008D508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pregresse </w:t>
      </w:r>
      <w:r w:rsidR="00C258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accertate </w:t>
      </w:r>
      <w:r w:rsidR="0001641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nel bilancio chiuso al 31 dicembre 201</w:t>
      </w:r>
      <w:r w:rsidR="0095123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9</w:t>
      </w:r>
      <w:r w:rsidR="008D508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pari a complessivi euro 9.901.515</w:t>
      </w:r>
      <w:r w:rsidR="008E0D7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tenendo conto del</w:t>
      </w:r>
      <w:r w:rsidR="008D508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l’utile dell’esercizio 2019, pari ad euro 214.374 e del risultato </w:t>
      </w:r>
      <w:r w:rsidR="00CD47B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maturato</w:t>
      </w:r>
      <w:r w:rsidR="008E0D7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successivamente alla chiusura dell’esercizio sociale 201</w:t>
      </w:r>
      <w:r w:rsidR="0095123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9</w:t>
      </w:r>
      <w:r w:rsidR="008E0D7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così come risultante </w:t>
      </w:r>
      <w:r w:rsidR="00C258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dalla situazione</w:t>
      </w:r>
      <w:r w:rsidR="0001641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aggiornata alla data del 30/11/</w:t>
      </w:r>
      <w:r w:rsidR="00C258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20</w:t>
      </w:r>
      <w:r w:rsidR="0095123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20</w:t>
      </w:r>
      <w:r w:rsidR="008E0D7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="00C258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allegata alla presente relazione.</w:t>
      </w:r>
      <w:r w:rsidR="00A1613D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14:paraId="4C16C11A" w14:textId="77777777" w:rsidR="00E7286A" w:rsidRPr="00E7286A" w:rsidRDefault="00E7286A" w:rsidP="00E7286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In fede </w:t>
      </w:r>
    </w:p>
    <w:p w14:paraId="1FFAE880" w14:textId="77777777" w:rsidR="00E7286A" w:rsidRPr="00E7286A" w:rsidRDefault="00E7286A" w:rsidP="00E7286A">
      <w:pPr>
        <w:spacing w:after="0" w:line="360" w:lineRule="auto"/>
        <w:ind w:left="4253" w:firstLine="7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 Amministratore Unico</w:t>
      </w:r>
    </w:p>
    <w:p w14:paraId="77B6391C" w14:textId="77777777" w:rsidR="00E7286A" w:rsidRPr="00E7286A" w:rsidRDefault="00E7286A" w:rsidP="00E7286A">
      <w:pPr>
        <w:spacing w:after="0" w:line="360" w:lineRule="auto"/>
        <w:ind w:left="4253" w:firstLine="7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E7286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     Amedeo Manzo </w:t>
      </w:r>
    </w:p>
    <w:p w14:paraId="07EEA215" w14:textId="656B773C" w:rsidR="00BE7E90" w:rsidRDefault="00BE7E90" w:rsidP="008D5088">
      <w:pPr>
        <w:spacing w:after="0" w:line="360" w:lineRule="auto"/>
        <w:jc w:val="both"/>
      </w:pPr>
    </w:p>
    <w:sectPr w:rsidR="00BE7E90" w:rsidSect="000E7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8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30F55" w14:textId="77777777" w:rsidR="006B6D30" w:rsidRDefault="006B6D30">
      <w:pPr>
        <w:spacing w:after="0" w:line="240" w:lineRule="auto"/>
      </w:pPr>
      <w:r>
        <w:separator/>
      </w:r>
    </w:p>
  </w:endnote>
  <w:endnote w:type="continuationSeparator" w:id="0">
    <w:p w14:paraId="334A5FD5" w14:textId="77777777" w:rsidR="006B6D30" w:rsidRDefault="006B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40AE" w14:textId="77777777" w:rsidR="005F139C" w:rsidRDefault="005F13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1AFB0" w14:textId="77777777" w:rsidR="008C37BD" w:rsidRDefault="00E7286A" w:rsidP="00124F4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13C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9DD23F" w14:textId="77777777" w:rsidR="008C37BD" w:rsidRDefault="006B6D30" w:rsidP="0061637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F819" w14:textId="77777777" w:rsidR="005F139C" w:rsidRDefault="005F13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51B3E" w14:textId="77777777" w:rsidR="006B6D30" w:rsidRDefault="006B6D30">
      <w:pPr>
        <w:spacing w:after="0" w:line="240" w:lineRule="auto"/>
      </w:pPr>
      <w:r>
        <w:separator/>
      </w:r>
    </w:p>
  </w:footnote>
  <w:footnote w:type="continuationSeparator" w:id="0">
    <w:p w14:paraId="1DE415E9" w14:textId="77777777" w:rsidR="006B6D30" w:rsidRDefault="006B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9392" w14:textId="77777777" w:rsidR="005F139C" w:rsidRDefault="005F13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79AFE" w14:textId="77777777" w:rsidR="005F139C" w:rsidRDefault="005F13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7224" w14:textId="77777777" w:rsidR="005F139C" w:rsidRDefault="005F13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6F"/>
    <w:rsid w:val="00016417"/>
    <w:rsid w:val="00063F1F"/>
    <w:rsid w:val="00092F31"/>
    <w:rsid w:val="000C2197"/>
    <w:rsid w:val="000F13C0"/>
    <w:rsid w:val="000F63ED"/>
    <w:rsid w:val="00140905"/>
    <w:rsid w:val="00144AFA"/>
    <w:rsid w:val="001B3494"/>
    <w:rsid w:val="003127F6"/>
    <w:rsid w:val="003723F6"/>
    <w:rsid w:val="00376098"/>
    <w:rsid w:val="003F4604"/>
    <w:rsid w:val="00407FEF"/>
    <w:rsid w:val="004862ED"/>
    <w:rsid w:val="00487FA8"/>
    <w:rsid w:val="004F55F3"/>
    <w:rsid w:val="00542BA7"/>
    <w:rsid w:val="005B5037"/>
    <w:rsid w:val="005C02BA"/>
    <w:rsid w:val="005F139C"/>
    <w:rsid w:val="0062632B"/>
    <w:rsid w:val="00640251"/>
    <w:rsid w:val="006B1608"/>
    <w:rsid w:val="006B5CDE"/>
    <w:rsid w:val="006B6D30"/>
    <w:rsid w:val="006F0F59"/>
    <w:rsid w:val="006F668A"/>
    <w:rsid w:val="00717C7A"/>
    <w:rsid w:val="00863C95"/>
    <w:rsid w:val="00876FE6"/>
    <w:rsid w:val="008D2AE0"/>
    <w:rsid w:val="008D5088"/>
    <w:rsid w:val="008E0D75"/>
    <w:rsid w:val="00917522"/>
    <w:rsid w:val="00951238"/>
    <w:rsid w:val="009A3FE2"/>
    <w:rsid w:val="009D2495"/>
    <w:rsid w:val="00A15B6F"/>
    <w:rsid w:val="00A1613D"/>
    <w:rsid w:val="00A91949"/>
    <w:rsid w:val="00AC48CA"/>
    <w:rsid w:val="00B709E5"/>
    <w:rsid w:val="00BA3F73"/>
    <w:rsid w:val="00BE7E90"/>
    <w:rsid w:val="00C01AB8"/>
    <w:rsid w:val="00C25832"/>
    <w:rsid w:val="00CC1D91"/>
    <w:rsid w:val="00CD47B2"/>
    <w:rsid w:val="00CF0922"/>
    <w:rsid w:val="00D9596F"/>
    <w:rsid w:val="00DE1429"/>
    <w:rsid w:val="00DF3F10"/>
    <w:rsid w:val="00E3743B"/>
    <w:rsid w:val="00E65C0B"/>
    <w:rsid w:val="00E7286A"/>
    <w:rsid w:val="00E804A6"/>
    <w:rsid w:val="00ED5950"/>
    <w:rsid w:val="00F07436"/>
    <w:rsid w:val="00F258ED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66B5"/>
  <w15:docId w15:val="{292EE274-16DB-40F2-915F-455C3730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7286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8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7286A"/>
  </w:style>
  <w:style w:type="paragraph" w:styleId="Nessunaspaziatura">
    <w:name w:val="No Spacing"/>
    <w:uiPriority w:val="1"/>
    <w:qFormat/>
    <w:rsid w:val="00B709E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F1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3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Gerli</dc:creator>
  <cp:keywords/>
  <dc:description/>
  <cp:lastModifiedBy>Esposito Assia</cp:lastModifiedBy>
  <cp:revision>2</cp:revision>
  <dcterms:created xsi:type="dcterms:W3CDTF">2021-03-03T10:14:00Z</dcterms:created>
  <dcterms:modified xsi:type="dcterms:W3CDTF">2021-03-03T10:14:00Z</dcterms:modified>
</cp:coreProperties>
</file>