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F9D96" w14:textId="77777777" w:rsidR="009B3F39" w:rsidRPr="00693459" w:rsidRDefault="009B3F39" w:rsidP="00693459">
      <w:pPr>
        <w:pStyle w:val="Titolo5"/>
      </w:pPr>
      <w:bookmarkStart w:id="0" w:name="_GoBack"/>
      <w:bookmarkEnd w:id="0"/>
    </w:p>
    <w:p w14:paraId="5F8D81D2" w14:textId="77777777" w:rsidR="00EE4AF0" w:rsidRPr="009D041E" w:rsidRDefault="00EE4AF0" w:rsidP="00564015">
      <w:pPr>
        <w:widowControl w:val="0"/>
        <w:tabs>
          <w:tab w:val="left" w:pos="7766"/>
        </w:tabs>
        <w:jc w:val="center"/>
        <w:rPr>
          <w:rFonts w:ascii="Arial" w:hAnsi="Arial" w:cs="Arial"/>
          <w:b/>
          <w:sz w:val="26"/>
          <w:szCs w:val="26"/>
          <w:lang w:val="en-US"/>
        </w:rPr>
      </w:pPr>
      <w:r w:rsidRPr="009D041E">
        <w:rPr>
          <w:rFonts w:ascii="Arial" w:hAnsi="Arial" w:cs="Arial"/>
          <w:b/>
          <w:snapToGrid w:val="0"/>
          <w:sz w:val="36"/>
          <w:lang w:val="en-US"/>
        </w:rPr>
        <w:t xml:space="preserve"> </w:t>
      </w:r>
      <w:r w:rsidR="00564015" w:rsidRPr="009D041E">
        <w:rPr>
          <w:rFonts w:ascii="Arial" w:hAnsi="Arial" w:cs="Arial"/>
          <w:b/>
          <w:sz w:val="26"/>
          <w:szCs w:val="26"/>
          <w:lang w:val="en-US"/>
        </w:rPr>
        <w:t>NAPOLI HOLDING S.r.l.</w:t>
      </w:r>
    </w:p>
    <w:p w14:paraId="52BA38B8" w14:textId="77777777" w:rsidR="00EE4AF0" w:rsidRDefault="00EE4AF0">
      <w:pPr>
        <w:pStyle w:val="Titolo7"/>
        <w:rPr>
          <w:sz w:val="18"/>
          <w:szCs w:val="18"/>
          <w:lang w:val="it-IT"/>
        </w:rPr>
      </w:pPr>
      <w:r>
        <w:rPr>
          <w:bCs/>
          <w:sz w:val="18"/>
          <w:szCs w:val="18"/>
          <w:lang w:val="it-IT"/>
        </w:rPr>
        <w:t>Società con unico socio soggetta alla direzione e coordinamento del Comune di Napoli</w:t>
      </w:r>
    </w:p>
    <w:p w14:paraId="4D1EC61B" w14:textId="77777777" w:rsidR="00EE4AF0" w:rsidRDefault="00EE4AF0">
      <w:pPr>
        <w:pStyle w:val="Titolo7"/>
        <w:rPr>
          <w:b w:val="0"/>
          <w:sz w:val="20"/>
          <w:szCs w:val="20"/>
          <w:lang w:val="it-IT"/>
        </w:rPr>
      </w:pPr>
      <w:r>
        <w:rPr>
          <w:b w:val="0"/>
          <w:sz w:val="20"/>
          <w:szCs w:val="20"/>
          <w:lang w:val="it-IT"/>
        </w:rPr>
        <w:t xml:space="preserve">C.F. 07942440632 </w:t>
      </w:r>
      <w:r w:rsidR="00153472">
        <w:rPr>
          <w:b w:val="0"/>
          <w:sz w:val="20"/>
          <w:szCs w:val="20"/>
          <w:lang w:val="it-IT"/>
        </w:rPr>
        <w:t>- P.I.</w:t>
      </w:r>
      <w:r>
        <w:rPr>
          <w:b w:val="0"/>
          <w:sz w:val="20"/>
          <w:szCs w:val="20"/>
          <w:lang w:val="it-IT"/>
        </w:rPr>
        <w:t xml:space="preserve"> 07942440632</w:t>
      </w:r>
    </w:p>
    <w:p w14:paraId="30A2DCCA" w14:textId="77777777" w:rsidR="00EE4AF0" w:rsidRDefault="00EE4AF0">
      <w:pPr>
        <w:widowControl w:val="0"/>
        <w:tabs>
          <w:tab w:val="left" w:pos="7766"/>
        </w:tabs>
        <w:jc w:val="center"/>
        <w:rPr>
          <w:rFonts w:ascii="Arial" w:hAnsi="Arial" w:cs="Arial"/>
          <w:snapToGrid w:val="0"/>
          <w:sz w:val="20"/>
          <w:szCs w:val="20"/>
        </w:rPr>
      </w:pPr>
      <w:r>
        <w:rPr>
          <w:rFonts w:ascii="Arial" w:hAnsi="Arial" w:cs="Arial"/>
          <w:snapToGrid w:val="0"/>
          <w:sz w:val="20"/>
          <w:szCs w:val="20"/>
        </w:rPr>
        <w:t xml:space="preserve">Sede Legale in Napoli – Via </w:t>
      </w:r>
      <w:r w:rsidR="00D51DFD">
        <w:rPr>
          <w:rFonts w:ascii="Arial" w:hAnsi="Arial" w:cs="Arial"/>
          <w:snapToGrid w:val="0"/>
          <w:sz w:val="20"/>
          <w:szCs w:val="20"/>
        </w:rPr>
        <w:t>G. B. Marino</w:t>
      </w:r>
      <w:r>
        <w:rPr>
          <w:rFonts w:ascii="Arial" w:hAnsi="Arial" w:cs="Arial"/>
          <w:snapToGrid w:val="0"/>
          <w:sz w:val="20"/>
          <w:szCs w:val="20"/>
        </w:rPr>
        <w:t xml:space="preserve">, </w:t>
      </w:r>
      <w:r w:rsidR="00D51DFD">
        <w:rPr>
          <w:rFonts w:ascii="Arial" w:hAnsi="Arial" w:cs="Arial"/>
          <w:snapToGrid w:val="0"/>
          <w:sz w:val="20"/>
          <w:szCs w:val="20"/>
        </w:rPr>
        <w:t>1</w:t>
      </w:r>
    </w:p>
    <w:p w14:paraId="72FD0932" w14:textId="77777777" w:rsidR="00EE4AF0" w:rsidRDefault="00BD173D">
      <w:pPr>
        <w:widowControl w:val="0"/>
        <w:tabs>
          <w:tab w:val="left" w:pos="7766"/>
        </w:tabs>
        <w:jc w:val="center"/>
        <w:rPr>
          <w:rFonts w:ascii="Arial" w:hAnsi="Arial" w:cs="Arial"/>
          <w:snapToGrid w:val="0"/>
          <w:sz w:val="20"/>
          <w:szCs w:val="20"/>
        </w:rPr>
      </w:pPr>
      <w:r>
        <w:rPr>
          <w:rFonts w:ascii="Arial" w:hAnsi="Arial" w:cs="Arial"/>
          <w:snapToGrid w:val="0"/>
          <w:sz w:val="20"/>
          <w:szCs w:val="20"/>
        </w:rPr>
        <w:t xml:space="preserve">Capitale sociale </w:t>
      </w:r>
      <w:r w:rsidR="00153472">
        <w:rPr>
          <w:rFonts w:ascii="Arial" w:hAnsi="Arial" w:cs="Arial"/>
          <w:snapToGrid w:val="0"/>
          <w:sz w:val="20"/>
          <w:szCs w:val="20"/>
        </w:rPr>
        <w:t>euro</w:t>
      </w:r>
      <w:r w:rsidR="00051EBE">
        <w:rPr>
          <w:rFonts w:ascii="Arial" w:hAnsi="Arial" w:cs="Arial"/>
          <w:snapToGrid w:val="0"/>
          <w:sz w:val="20"/>
          <w:szCs w:val="20"/>
        </w:rPr>
        <w:t xml:space="preserve"> </w:t>
      </w:r>
      <w:r w:rsidR="00616426">
        <w:rPr>
          <w:rFonts w:ascii="Arial" w:hAnsi="Arial" w:cs="Arial"/>
          <w:snapToGrid w:val="0"/>
          <w:sz w:val="20"/>
          <w:szCs w:val="20"/>
        </w:rPr>
        <w:t>15.262.735</w:t>
      </w:r>
      <w:r w:rsidR="00EE4AF0">
        <w:rPr>
          <w:rFonts w:ascii="Arial" w:hAnsi="Arial" w:cs="Arial"/>
          <w:snapToGrid w:val="0"/>
          <w:sz w:val="20"/>
          <w:szCs w:val="20"/>
        </w:rPr>
        <w:t xml:space="preserve"> i.v. </w:t>
      </w:r>
    </w:p>
    <w:p w14:paraId="7056BEDE" w14:textId="77777777" w:rsidR="00FA68F4" w:rsidRDefault="00FA68F4">
      <w:pPr>
        <w:widowControl w:val="0"/>
        <w:tabs>
          <w:tab w:val="left" w:pos="7766"/>
        </w:tabs>
        <w:jc w:val="center"/>
        <w:rPr>
          <w:rFonts w:ascii="Arial" w:hAnsi="Arial" w:cs="Arial"/>
          <w:snapToGrid w:val="0"/>
          <w:sz w:val="20"/>
          <w:szCs w:val="20"/>
        </w:rPr>
      </w:pPr>
    </w:p>
    <w:p w14:paraId="4AE546A8" w14:textId="77777777" w:rsidR="00250A18" w:rsidRPr="00250A18" w:rsidRDefault="00EE4AF0" w:rsidP="00250A18">
      <w:pPr>
        <w:pStyle w:val="Titolo1"/>
        <w:rPr>
          <w:rFonts w:ascii="Arial" w:hAnsi="Arial" w:cs="Arial"/>
          <w:sz w:val="24"/>
          <w:szCs w:val="24"/>
        </w:rPr>
      </w:pPr>
      <w:r>
        <w:rPr>
          <w:rFonts w:ascii="Arial" w:hAnsi="Arial" w:cs="Arial"/>
          <w:sz w:val="24"/>
          <w:szCs w:val="24"/>
        </w:rPr>
        <w:t>Nota Integrativa al Bilancio</w:t>
      </w:r>
      <w:r w:rsidR="003B7CD4">
        <w:rPr>
          <w:rFonts w:ascii="Arial" w:hAnsi="Arial" w:cs="Arial"/>
          <w:sz w:val="24"/>
          <w:szCs w:val="24"/>
        </w:rPr>
        <w:t xml:space="preserve"> Consolidato</w:t>
      </w:r>
      <w:r>
        <w:rPr>
          <w:rFonts w:ascii="Arial" w:hAnsi="Arial" w:cs="Arial"/>
          <w:sz w:val="24"/>
          <w:szCs w:val="24"/>
        </w:rPr>
        <w:t xml:space="preserve"> al 31/12/</w:t>
      </w:r>
      <w:r w:rsidR="00234564">
        <w:rPr>
          <w:rFonts w:ascii="Arial" w:hAnsi="Arial" w:cs="Arial"/>
          <w:sz w:val="24"/>
          <w:szCs w:val="24"/>
        </w:rPr>
        <w:t>2019</w:t>
      </w:r>
    </w:p>
    <w:p w14:paraId="58D4662F" w14:textId="77777777" w:rsidR="00EE4AF0" w:rsidRDefault="00EE4AF0">
      <w:pPr>
        <w:widowControl w:val="0"/>
        <w:tabs>
          <w:tab w:val="left" w:pos="7766"/>
        </w:tabs>
        <w:rPr>
          <w:rFonts w:ascii="Arial" w:hAnsi="Arial" w:cs="Arial"/>
          <w:snapToGrid w:val="0"/>
          <w:sz w:val="22"/>
          <w:highlight w:val="yellow"/>
        </w:rPr>
      </w:pPr>
    </w:p>
    <w:p w14:paraId="6760FA08" w14:textId="77777777" w:rsidR="00EE4AF0" w:rsidRDefault="00EE4AF0" w:rsidP="000149EB">
      <w:pPr>
        <w:pStyle w:val="Titolo6"/>
        <w:shd w:val="clear" w:color="auto" w:fill="F3F3F3"/>
        <w:rPr>
          <w:rFonts w:ascii="Arial" w:hAnsi="Arial" w:cs="Arial"/>
          <w:sz w:val="20"/>
        </w:rPr>
      </w:pPr>
      <w:r>
        <w:rPr>
          <w:rFonts w:ascii="Arial" w:hAnsi="Arial" w:cs="Arial"/>
          <w:sz w:val="20"/>
        </w:rPr>
        <w:t>Premessa</w:t>
      </w:r>
    </w:p>
    <w:p w14:paraId="0E64E066" w14:textId="77777777" w:rsidR="00B35715" w:rsidRDefault="00EE4AF0" w:rsidP="000149EB">
      <w:pPr>
        <w:widowControl w:val="0"/>
        <w:tabs>
          <w:tab w:val="left" w:pos="1800"/>
        </w:tabs>
        <w:spacing w:before="120" w:after="120"/>
        <w:jc w:val="both"/>
        <w:rPr>
          <w:rFonts w:ascii="Arial" w:hAnsi="Arial" w:cs="Arial"/>
          <w:snapToGrid w:val="0"/>
          <w:sz w:val="20"/>
        </w:rPr>
      </w:pPr>
      <w:r>
        <w:rPr>
          <w:rFonts w:ascii="Arial" w:hAnsi="Arial" w:cs="Arial"/>
          <w:snapToGrid w:val="0"/>
          <w:sz w:val="20"/>
        </w:rPr>
        <w:t xml:space="preserve">La presente nota </w:t>
      </w:r>
      <w:r w:rsidR="002D7C09">
        <w:rPr>
          <w:rFonts w:ascii="Arial" w:hAnsi="Arial" w:cs="Arial"/>
          <w:snapToGrid w:val="0"/>
          <w:sz w:val="20"/>
        </w:rPr>
        <w:t>è stata redatta</w:t>
      </w:r>
      <w:r w:rsidR="002D7C09" w:rsidRPr="002D7C09">
        <w:rPr>
          <w:rFonts w:ascii="Arial" w:hAnsi="Arial" w:cs="Arial"/>
          <w:snapToGrid w:val="0"/>
          <w:sz w:val="20"/>
        </w:rPr>
        <w:t xml:space="preserve"> in ottemperanza alle disposizioni civilistiche ed applicando i criteri di valutazione ed i postulati previsti dai principi contabili statuiti dall’ Organismo Italiano di </w:t>
      </w:r>
      <w:r w:rsidR="002D7C09" w:rsidRPr="00D40166">
        <w:rPr>
          <w:rFonts w:ascii="Arial" w:hAnsi="Arial" w:cs="Arial"/>
          <w:snapToGrid w:val="0"/>
          <w:sz w:val="20"/>
        </w:rPr>
        <w:t xml:space="preserve">Contabilità </w:t>
      </w:r>
      <w:r w:rsidR="00B35715" w:rsidRPr="00D40166">
        <w:rPr>
          <w:rFonts w:ascii="Arial" w:hAnsi="Arial" w:cs="Arial"/>
          <w:snapToGrid w:val="0"/>
          <w:sz w:val="20"/>
        </w:rPr>
        <w:t>(OIC) ed infine, ove mancanti e in quanto non in contrasto con le norme e i principi contabili italiani, da quelli emanati dall’International Accounting Standard Board (I.A.S.B)</w:t>
      </w:r>
      <w:r w:rsidR="00B35715">
        <w:rPr>
          <w:rFonts w:ascii="Arial" w:hAnsi="Arial" w:cs="Arial"/>
          <w:snapToGrid w:val="0"/>
          <w:sz w:val="20"/>
        </w:rPr>
        <w:t>.</w:t>
      </w:r>
    </w:p>
    <w:p w14:paraId="4F015436" w14:textId="77777777" w:rsidR="00B35715" w:rsidRPr="002D7C09" w:rsidRDefault="00B35715" w:rsidP="000149EB">
      <w:pPr>
        <w:widowControl w:val="0"/>
        <w:tabs>
          <w:tab w:val="left" w:pos="1800"/>
        </w:tabs>
        <w:spacing w:before="120" w:after="120"/>
        <w:jc w:val="both"/>
        <w:rPr>
          <w:rFonts w:ascii="Arial" w:hAnsi="Arial" w:cs="Arial"/>
          <w:snapToGrid w:val="0"/>
          <w:sz w:val="20"/>
        </w:rPr>
      </w:pPr>
      <w:r w:rsidRPr="00D40166">
        <w:rPr>
          <w:rFonts w:ascii="Arial" w:hAnsi="Arial" w:cs="Arial"/>
          <w:snapToGrid w:val="0"/>
          <w:sz w:val="20"/>
        </w:rPr>
        <w:t xml:space="preserve">Il bilancio consolidato è costituito dallo stato patrimoniale, dal conto economico, dal rendiconto finanziario (preparati in conformità agli schemi rispettivamente di cui agli artt.2424, 2424 bis c.c., agli artt. 2425 e 2425 bis c.c. e all’art 2425 ter del </w:t>
      </w:r>
      <w:r w:rsidR="00153472" w:rsidRPr="00D40166">
        <w:rPr>
          <w:rFonts w:ascii="Arial" w:hAnsi="Arial" w:cs="Arial"/>
          <w:snapToGrid w:val="0"/>
          <w:sz w:val="20"/>
        </w:rPr>
        <w:t>Codice civile</w:t>
      </w:r>
      <w:r w:rsidRPr="00D40166">
        <w:rPr>
          <w:rFonts w:ascii="Arial" w:hAnsi="Arial" w:cs="Arial"/>
          <w:snapToGrid w:val="0"/>
          <w:sz w:val="20"/>
        </w:rPr>
        <w:t>) e dalla presente nota integrativa.</w:t>
      </w:r>
    </w:p>
    <w:p w14:paraId="01088D70" w14:textId="77777777" w:rsidR="002D7C09" w:rsidRDefault="00920A09" w:rsidP="000149EB">
      <w:pPr>
        <w:widowControl w:val="0"/>
        <w:tabs>
          <w:tab w:val="left" w:pos="1800"/>
        </w:tabs>
        <w:spacing w:before="120" w:after="120"/>
        <w:jc w:val="both"/>
        <w:rPr>
          <w:rFonts w:ascii="Arial" w:hAnsi="Arial" w:cs="Arial"/>
          <w:snapToGrid w:val="0"/>
          <w:sz w:val="20"/>
        </w:rPr>
      </w:pPr>
      <w:r w:rsidRPr="00AA6FC7">
        <w:rPr>
          <w:rFonts w:ascii="Arial" w:hAnsi="Arial" w:cs="Arial"/>
          <w:snapToGrid w:val="0"/>
          <w:sz w:val="20"/>
        </w:rPr>
        <w:t xml:space="preserve">La nota integrativa ha la funzione di fornire l'illustrazione, l'analisi ed in taluni casi un'integrazione dei dati di bilancio e contiene le informazioni richieste dagli artt. 2427 e 2427 bis del </w:t>
      </w:r>
      <w:r w:rsidR="00153472" w:rsidRPr="00AA6FC7">
        <w:rPr>
          <w:rFonts w:ascii="Arial" w:hAnsi="Arial" w:cs="Arial"/>
          <w:snapToGrid w:val="0"/>
          <w:sz w:val="20"/>
        </w:rPr>
        <w:t>Codice civile</w:t>
      </w:r>
      <w:r w:rsidRPr="00AA6FC7">
        <w:rPr>
          <w:rFonts w:ascii="Arial" w:hAnsi="Arial" w:cs="Arial"/>
          <w:snapToGrid w:val="0"/>
          <w:sz w:val="20"/>
        </w:rPr>
        <w:t xml:space="preserve">, da altre disposizioni del </w:t>
      </w:r>
      <w:r w:rsidR="00153472" w:rsidRPr="00AA6FC7">
        <w:rPr>
          <w:rFonts w:ascii="Arial" w:hAnsi="Arial" w:cs="Arial"/>
          <w:snapToGrid w:val="0"/>
          <w:sz w:val="20"/>
        </w:rPr>
        <w:t>Codice civile</w:t>
      </w:r>
      <w:r w:rsidRPr="00AA6FC7">
        <w:rPr>
          <w:rFonts w:ascii="Arial" w:hAnsi="Arial" w:cs="Arial"/>
          <w:snapToGrid w:val="0"/>
          <w:sz w:val="20"/>
        </w:rPr>
        <w:t xml:space="preserve"> in materia di bilancio e da altre leggi precedenti. </w:t>
      </w:r>
      <w:r w:rsidR="00EE4AF0">
        <w:rPr>
          <w:rFonts w:ascii="Arial" w:hAnsi="Arial" w:cs="Arial"/>
          <w:snapToGrid w:val="0"/>
          <w:sz w:val="20"/>
        </w:rPr>
        <w:t>Si è inoltre tenuto conto della necessità di fornire informazioni supplementari, anche se non specificatamente richieste da disposizioni di legge, ritenute necessarie a dare una rappresentazione veritiera e corretta nel contesto della chiarezza.</w:t>
      </w:r>
    </w:p>
    <w:p w14:paraId="4026B1CB" w14:textId="77777777" w:rsidR="00EE4AF0" w:rsidRDefault="00EE4AF0" w:rsidP="000149EB">
      <w:pPr>
        <w:widowControl w:val="0"/>
        <w:tabs>
          <w:tab w:val="left" w:pos="1800"/>
        </w:tabs>
        <w:spacing w:before="120" w:after="120"/>
        <w:jc w:val="both"/>
        <w:rPr>
          <w:rFonts w:ascii="Arial" w:hAnsi="Arial" w:cs="Arial"/>
          <w:snapToGrid w:val="0"/>
          <w:sz w:val="20"/>
        </w:rPr>
      </w:pPr>
      <w:r>
        <w:rPr>
          <w:rFonts w:ascii="Arial" w:hAnsi="Arial" w:cs="Arial"/>
          <w:snapToGrid w:val="0"/>
          <w:sz w:val="20"/>
        </w:rPr>
        <w:t xml:space="preserve">Non vi sono state deroghe alle disposizioni previste dal quarto comma dell’articolo 2423 del </w:t>
      </w:r>
      <w:r w:rsidR="00153472">
        <w:rPr>
          <w:rFonts w:ascii="Arial" w:hAnsi="Arial" w:cs="Arial"/>
          <w:snapToGrid w:val="0"/>
          <w:sz w:val="20"/>
        </w:rPr>
        <w:t>Codice civile</w:t>
      </w:r>
      <w:r w:rsidR="00716DB9">
        <w:rPr>
          <w:rFonts w:ascii="Arial" w:hAnsi="Arial" w:cs="Arial"/>
          <w:snapToGrid w:val="0"/>
          <w:sz w:val="20"/>
        </w:rPr>
        <w:t>.</w:t>
      </w:r>
      <w:r w:rsidR="00DC4AE3">
        <w:rPr>
          <w:rFonts w:ascii="Arial" w:hAnsi="Arial" w:cs="Arial"/>
          <w:snapToGrid w:val="0"/>
          <w:sz w:val="20"/>
        </w:rPr>
        <w:t xml:space="preserve"> </w:t>
      </w:r>
    </w:p>
    <w:p w14:paraId="277F83C1" w14:textId="77777777" w:rsidR="00EE4AF0" w:rsidRDefault="00EE4AF0" w:rsidP="000149EB">
      <w:pPr>
        <w:spacing w:before="120" w:after="120"/>
        <w:jc w:val="both"/>
        <w:rPr>
          <w:rFonts w:ascii="Arial" w:hAnsi="Arial" w:cs="Arial"/>
          <w:snapToGrid w:val="0"/>
          <w:sz w:val="20"/>
        </w:rPr>
      </w:pPr>
      <w:r>
        <w:rPr>
          <w:rFonts w:ascii="Arial" w:hAnsi="Arial" w:cs="Arial"/>
          <w:snapToGrid w:val="0"/>
          <w:sz w:val="20"/>
        </w:rPr>
        <w:t xml:space="preserve">I prospetti di Stato Patrimoniale e di Conto Economico sono redatti in unità di euro. Tutti gli importi espressi in euro sono stati arrotondati, all’unità inferiore se inferiori a 0,5 </w:t>
      </w:r>
      <w:r w:rsidR="00153472">
        <w:rPr>
          <w:rFonts w:ascii="Arial" w:hAnsi="Arial" w:cs="Arial"/>
          <w:snapToGrid w:val="0"/>
          <w:sz w:val="20"/>
        </w:rPr>
        <w:t>euro</w:t>
      </w:r>
      <w:r>
        <w:rPr>
          <w:rFonts w:ascii="Arial" w:hAnsi="Arial" w:cs="Arial"/>
          <w:snapToGrid w:val="0"/>
          <w:sz w:val="20"/>
        </w:rPr>
        <w:t xml:space="preserve"> e all’unità superiore se pari o superiori a 0,5 </w:t>
      </w:r>
      <w:r w:rsidR="00153472">
        <w:rPr>
          <w:rFonts w:ascii="Arial" w:hAnsi="Arial" w:cs="Arial"/>
          <w:snapToGrid w:val="0"/>
          <w:sz w:val="20"/>
        </w:rPr>
        <w:t>euro</w:t>
      </w:r>
      <w:r>
        <w:rPr>
          <w:rFonts w:ascii="Arial" w:hAnsi="Arial" w:cs="Arial"/>
          <w:snapToGrid w:val="0"/>
          <w:sz w:val="20"/>
        </w:rPr>
        <w:t xml:space="preserve">. Le differenze derivanti dall’arrotondamento dei valori espressi in unità di </w:t>
      </w:r>
      <w:r w:rsidR="00153472">
        <w:rPr>
          <w:rFonts w:ascii="Arial" w:hAnsi="Arial" w:cs="Arial"/>
          <w:snapToGrid w:val="0"/>
          <w:sz w:val="20"/>
        </w:rPr>
        <w:t>euro</w:t>
      </w:r>
      <w:r>
        <w:rPr>
          <w:rFonts w:ascii="Arial" w:hAnsi="Arial" w:cs="Arial"/>
          <w:snapToGrid w:val="0"/>
          <w:sz w:val="20"/>
        </w:rPr>
        <w:t xml:space="preserve"> </w:t>
      </w:r>
      <w:r w:rsidR="00153472">
        <w:rPr>
          <w:rFonts w:ascii="Arial" w:hAnsi="Arial" w:cs="Arial"/>
          <w:snapToGrid w:val="0"/>
          <w:sz w:val="20"/>
        </w:rPr>
        <w:t>sono allocate</w:t>
      </w:r>
      <w:r>
        <w:rPr>
          <w:rFonts w:ascii="Arial" w:hAnsi="Arial" w:cs="Arial"/>
          <w:snapToGrid w:val="0"/>
          <w:sz w:val="20"/>
        </w:rPr>
        <w:t xml:space="preserve"> all’apposita riserva di patrimonio netto. La presente Nota Integrativa è stata redatta in migliaia di </w:t>
      </w:r>
      <w:r w:rsidR="00153472">
        <w:rPr>
          <w:rFonts w:ascii="Arial" w:hAnsi="Arial" w:cs="Arial"/>
          <w:snapToGrid w:val="0"/>
          <w:sz w:val="20"/>
        </w:rPr>
        <w:t>euro</w:t>
      </w:r>
      <w:r>
        <w:rPr>
          <w:rFonts w:ascii="Arial" w:hAnsi="Arial" w:cs="Arial"/>
          <w:snapToGrid w:val="0"/>
          <w:sz w:val="20"/>
        </w:rPr>
        <w:t xml:space="preserve"> ed eventuali differenze con i prospetti di bilancio sono dovute agli arrotondamenti.</w:t>
      </w:r>
    </w:p>
    <w:p w14:paraId="61EE3B3C" w14:textId="77777777" w:rsidR="000229A9" w:rsidRDefault="000229A9" w:rsidP="000149EB">
      <w:pPr>
        <w:pStyle w:val="Titolo6"/>
        <w:shd w:val="clear" w:color="auto" w:fill="F3F3F3"/>
        <w:rPr>
          <w:rFonts w:ascii="Arial" w:hAnsi="Arial" w:cs="Arial"/>
          <w:sz w:val="20"/>
        </w:rPr>
      </w:pPr>
      <w:r>
        <w:rPr>
          <w:rFonts w:ascii="Arial" w:hAnsi="Arial" w:cs="Arial"/>
          <w:sz w:val="20"/>
        </w:rPr>
        <w:t>Attività del gruppo</w:t>
      </w:r>
    </w:p>
    <w:p w14:paraId="0B634883" w14:textId="77777777" w:rsidR="00AA6FC7" w:rsidRPr="00106036" w:rsidRDefault="00AA6FC7" w:rsidP="000149EB">
      <w:pPr>
        <w:spacing w:before="120" w:after="120"/>
        <w:jc w:val="both"/>
        <w:rPr>
          <w:rFonts w:ascii="Arial" w:hAnsi="Arial" w:cs="Arial"/>
          <w:sz w:val="20"/>
          <w:szCs w:val="20"/>
        </w:rPr>
      </w:pPr>
      <w:r w:rsidRPr="00106036">
        <w:rPr>
          <w:rFonts w:ascii="Arial" w:hAnsi="Arial" w:cs="Arial"/>
          <w:snapToGrid w:val="0"/>
          <w:sz w:val="20"/>
        </w:rPr>
        <w:t xml:space="preserve">La Capogruppo Napoli Holding S.r.l. (ex Napolipark), operativa dall’ottobre del 2002, (Codice Ateco 522190) è stata costituita </w:t>
      </w:r>
      <w:r w:rsidRPr="00106036">
        <w:rPr>
          <w:rFonts w:ascii="Arial" w:hAnsi="Arial" w:cs="Arial"/>
          <w:sz w:val="20"/>
        </w:rPr>
        <w:t xml:space="preserve">in attuazione della volontà espressa dal Consiglio Comunale di Napoli con propria delibera n. 272 del 30 agosto 2002 per la gestione dei servizi </w:t>
      </w:r>
      <w:r w:rsidRPr="00106036">
        <w:rPr>
          <w:rFonts w:ascii="Arial" w:hAnsi="Arial" w:cs="Arial"/>
          <w:sz w:val="20"/>
          <w:szCs w:val="20"/>
        </w:rPr>
        <w:t>complementari alla mobilità, quali la sosta, gli impianti semaforici, i transennamenti, la segnaletica, l’infomobilità e la rimozione dei veicoli in sosta d’intralcio ed altri interventi contro la sosta vietata sulla base dei presupposti del c.d. “affidamento in house” art. 113 comma 5 TUEL n. 267/2000.</w:t>
      </w:r>
    </w:p>
    <w:p w14:paraId="7AE189A6" w14:textId="77777777" w:rsidR="00AA6FC7" w:rsidRPr="00106036" w:rsidRDefault="00AA6FC7" w:rsidP="000149EB">
      <w:pPr>
        <w:widowControl w:val="0"/>
        <w:suppressAutoHyphens/>
        <w:autoSpaceDN w:val="0"/>
        <w:spacing w:after="113"/>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 xml:space="preserve">In data 29.07.2013 il Consiglio Comunale con propria delibera n. 36 ha approvato la nuova configurazione complessiva del gruppo societario prevedendo tra l'altro: </w:t>
      </w:r>
    </w:p>
    <w:p w14:paraId="396AB11F" w14:textId="6228BAD5" w:rsidR="00AA6FC7" w:rsidRPr="00106036" w:rsidRDefault="00AA6FC7" w:rsidP="009435F3">
      <w:pPr>
        <w:widowControl w:val="0"/>
        <w:numPr>
          <w:ilvl w:val="0"/>
          <w:numId w:val="4"/>
        </w:numPr>
        <w:suppressAutoHyphens/>
        <w:autoSpaceDN w:val="0"/>
        <w:spacing w:after="113"/>
        <w:ind w:left="709" w:firstLine="0"/>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la fusione di Metronapoli s.p.a. e A</w:t>
      </w:r>
      <w:r w:rsidR="00EC7C75">
        <w:rPr>
          <w:rFonts w:ascii="Arial" w:eastAsia="Andale Sans UI" w:hAnsi="Arial" w:cs="Arial"/>
          <w:kern w:val="3"/>
          <w:sz w:val="20"/>
          <w:szCs w:val="20"/>
          <w:lang w:eastAsia="ja-JP" w:bidi="fa-IR"/>
        </w:rPr>
        <w:t xml:space="preserve">zienda Napoletana Mobilità </w:t>
      </w:r>
      <w:r w:rsidR="000149EB" w:rsidRPr="00106036">
        <w:rPr>
          <w:rFonts w:ascii="Arial" w:eastAsia="Andale Sans UI" w:hAnsi="Arial" w:cs="Arial"/>
          <w:kern w:val="3"/>
          <w:sz w:val="20"/>
          <w:szCs w:val="20"/>
          <w:lang w:eastAsia="ja-JP" w:bidi="fa-IR"/>
        </w:rPr>
        <w:t>s.p.a.</w:t>
      </w:r>
      <w:r w:rsidR="00EC7C75">
        <w:rPr>
          <w:rFonts w:ascii="Arial" w:eastAsia="Andale Sans UI" w:hAnsi="Arial" w:cs="Arial"/>
          <w:kern w:val="3"/>
          <w:sz w:val="20"/>
          <w:szCs w:val="20"/>
          <w:lang w:eastAsia="ja-JP" w:bidi="fa-IR"/>
        </w:rPr>
        <w:t xml:space="preserve"> (di seguito anche solo “ANM” o ANM S.p.A.”)</w:t>
      </w:r>
      <w:r w:rsidR="000149EB" w:rsidRPr="00106036">
        <w:rPr>
          <w:rFonts w:ascii="Arial" w:eastAsia="Andale Sans UI" w:hAnsi="Arial" w:cs="Arial"/>
          <w:kern w:val="3"/>
          <w:sz w:val="20"/>
          <w:szCs w:val="20"/>
          <w:lang w:eastAsia="ja-JP" w:bidi="fa-IR"/>
        </w:rPr>
        <w:t xml:space="preserve"> per incorporazione della </w:t>
      </w:r>
      <w:r w:rsidRPr="00106036">
        <w:rPr>
          <w:rFonts w:ascii="Arial" w:eastAsia="Andale Sans UI" w:hAnsi="Arial" w:cs="Arial"/>
          <w:kern w:val="3"/>
          <w:sz w:val="20"/>
          <w:szCs w:val="20"/>
          <w:lang w:eastAsia="ja-JP" w:bidi="fa-IR"/>
        </w:rPr>
        <w:t xml:space="preserve">prima nella seconda, </w:t>
      </w:r>
    </w:p>
    <w:p w14:paraId="4D19CA01" w14:textId="77777777" w:rsidR="00AA6FC7" w:rsidRPr="00106036" w:rsidRDefault="00AA6FC7" w:rsidP="009435F3">
      <w:pPr>
        <w:widowControl w:val="0"/>
        <w:numPr>
          <w:ilvl w:val="0"/>
          <w:numId w:val="4"/>
        </w:numPr>
        <w:suppressAutoHyphens/>
        <w:autoSpaceDN w:val="0"/>
        <w:spacing w:after="113"/>
        <w:ind w:left="709" w:firstLine="0"/>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la trasformazione di Napolipark in “</w:t>
      </w:r>
      <w:r w:rsidRPr="00106036">
        <w:rPr>
          <w:rFonts w:ascii="Arial" w:eastAsia="Andale Sans UI" w:hAnsi="Arial" w:cs="Arial"/>
          <w:bCs/>
          <w:kern w:val="3"/>
          <w:sz w:val="20"/>
          <w:szCs w:val="20"/>
          <w:lang w:eastAsia="ja-JP" w:bidi="fa-IR"/>
        </w:rPr>
        <w:t>Napoli Holding S.r.l.</w:t>
      </w:r>
      <w:r w:rsidRPr="00106036">
        <w:rPr>
          <w:rFonts w:ascii="Arial" w:eastAsia="Andale Sans UI" w:hAnsi="Arial" w:cs="Arial"/>
          <w:kern w:val="3"/>
          <w:sz w:val="20"/>
          <w:szCs w:val="20"/>
          <w:lang w:eastAsia="ja-JP" w:bidi="fa-IR"/>
        </w:rPr>
        <w:t>” per la gestione dei servizi del trasporto pubblico locale (TPL) di competenza del Comune di Napoli, con l’assunzione delle funzioni di Agenzia territoriale per la mobilità sostenibile, ai sensi e per gli effetti dell'articolo 28 della Legge Regionale Campania n. 3, con la relativa modifica della denominazione,</w:t>
      </w:r>
    </w:p>
    <w:p w14:paraId="5DBD8B96" w14:textId="77777777" w:rsidR="001E0FA2" w:rsidRDefault="00AA6FC7" w:rsidP="009435F3">
      <w:pPr>
        <w:widowControl w:val="0"/>
        <w:numPr>
          <w:ilvl w:val="0"/>
          <w:numId w:val="4"/>
        </w:numPr>
        <w:suppressAutoHyphens/>
        <w:autoSpaceDN w:val="0"/>
        <w:spacing w:after="113"/>
        <w:ind w:left="709" w:firstLine="0"/>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 xml:space="preserve">l'aumento del capitale sociale della "ANM S.p.A." di euro 3.500.000,00, mediante conferimento da parte dell'unico socio "Napoli Holding S.r.l." del ramo di azienda avente </w:t>
      </w:r>
      <w:r w:rsidRPr="00106036">
        <w:rPr>
          <w:rFonts w:ascii="Arial" w:eastAsia="Andale Sans UI" w:hAnsi="Arial" w:cs="Arial"/>
          <w:kern w:val="3"/>
          <w:sz w:val="20"/>
          <w:szCs w:val="20"/>
          <w:lang w:eastAsia="ja-JP" w:bidi="fa-IR"/>
        </w:rPr>
        <w:lastRenderedPageBreak/>
        <w:t>ad oggetto la gestione dei servizi complementari alla mobilità</w:t>
      </w:r>
      <w:r w:rsidR="001E0FA2">
        <w:rPr>
          <w:rFonts w:ascii="Arial" w:eastAsia="Andale Sans UI" w:hAnsi="Arial" w:cs="Arial"/>
          <w:kern w:val="3"/>
          <w:sz w:val="20"/>
          <w:szCs w:val="20"/>
          <w:lang w:eastAsia="ja-JP" w:bidi="fa-IR"/>
        </w:rPr>
        <w:t>.</w:t>
      </w:r>
    </w:p>
    <w:p w14:paraId="716756BC" w14:textId="4F947AF3" w:rsidR="00AA6FC7" w:rsidRPr="00106036" w:rsidRDefault="001E0FA2" w:rsidP="00696895">
      <w:pPr>
        <w:widowControl w:val="0"/>
        <w:suppressAutoHyphens/>
        <w:autoSpaceDN w:val="0"/>
        <w:spacing w:after="113"/>
        <w:jc w:val="both"/>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 xml:space="preserve">A vale di tale configurazione, la Napoli Holding S.r.l. opera come società Capogruppo del Gruppo Napoli Holding, di cui l’unica società controllata alla data del presente documento è la Azienda Napoletana Mobilità S.p.A. </w:t>
      </w:r>
      <w:r w:rsidR="00AA6FC7" w:rsidRPr="00106036">
        <w:rPr>
          <w:rFonts w:ascii="Arial" w:eastAsia="Andale Sans UI" w:hAnsi="Arial" w:cs="Arial"/>
          <w:kern w:val="3"/>
          <w:sz w:val="20"/>
          <w:szCs w:val="20"/>
          <w:lang w:eastAsia="ja-JP" w:bidi="fa-IR"/>
        </w:rPr>
        <w:t xml:space="preserve"> </w:t>
      </w:r>
    </w:p>
    <w:p w14:paraId="24776A5A" w14:textId="21BF5B96" w:rsidR="00AA6FC7" w:rsidRPr="00106036" w:rsidRDefault="00AA6FC7" w:rsidP="000149EB">
      <w:pPr>
        <w:widowControl w:val="0"/>
        <w:suppressAutoHyphens/>
        <w:autoSpaceDN w:val="0"/>
        <w:spacing w:after="113"/>
        <w:jc w:val="both"/>
        <w:rPr>
          <w:rFonts w:ascii="Arial" w:eastAsia="Andale Sans UI" w:hAnsi="Arial" w:cs="Arial"/>
          <w:snapToGrid w:val="0"/>
          <w:kern w:val="3"/>
          <w:sz w:val="20"/>
          <w:szCs w:val="20"/>
          <w:lang w:eastAsia="ja-JP" w:bidi="fa-IR"/>
        </w:rPr>
      </w:pPr>
      <w:r w:rsidRPr="00106036">
        <w:rPr>
          <w:rFonts w:ascii="Arial" w:eastAsia="Andale Sans UI" w:hAnsi="Arial" w:cs="Arial"/>
          <w:kern w:val="3"/>
          <w:sz w:val="20"/>
          <w:szCs w:val="20"/>
          <w:lang w:eastAsia="ja-JP" w:bidi="fa-IR"/>
        </w:rPr>
        <w:t xml:space="preserve">In attuazione a tale delibera, in data 24.10.2013 è stato sottoscritto l’atto di fusione per incorporazione di Metronapoli S.p.a. in ANM S.p.a., con effetto </w:t>
      </w:r>
      <w:r w:rsidR="00C400DB" w:rsidRPr="00106036">
        <w:rPr>
          <w:rFonts w:ascii="Arial" w:eastAsia="Andale Sans UI" w:hAnsi="Arial" w:cs="Arial"/>
          <w:kern w:val="3"/>
          <w:sz w:val="20"/>
          <w:szCs w:val="20"/>
          <w:lang w:eastAsia="ja-JP" w:bidi="fa-IR"/>
        </w:rPr>
        <w:t>fiscale e</w:t>
      </w:r>
      <w:r w:rsidRPr="00106036">
        <w:rPr>
          <w:rFonts w:ascii="Arial" w:eastAsia="Andale Sans UI" w:hAnsi="Arial" w:cs="Arial"/>
          <w:kern w:val="3"/>
          <w:sz w:val="20"/>
          <w:szCs w:val="20"/>
          <w:lang w:eastAsia="ja-JP" w:bidi="fa-IR"/>
        </w:rPr>
        <w:t xml:space="preserve"> contabile dal 1.01.2013. Con verbale di assemblea straordinaria del 27.12.2013 è stato deliberato l’aumento del capitale sociale di ANM s.p.a. di euro 3.500.000,00 mediante conferimento in natura del ramo di azienda della società Napoli holding S.r.l., avente ad oggetto la gestione dei servizi complementari alla mobilità, quali la sosta, gli impianti semaforici, i transennamenti, la segnaletica, l'infomobilità e la rimozione dei veicoli in sosta d'intralcio ed altri interventi contro la sosta vietata; l’efficacia del conferimento è stata fissata al 1 gennaio 2014, </w:t>
      </w:r>
      <w:r w:rsidRPr="00106036">
        <w:rPr>
          <w:rFonts w:ascii="Arial" w:eastAsia="Andale Sans UI" w:hAnsi="Arial" w:cs="Arial"/>
          <w:snapToGrid w:val="0"/>
          <w:kern w:val="3"/>
          <w:sz w:val="20"/>
          <w:szCs w:val="20"/>
          <w:lang w:eastAsia="ja-JP" w:bidi="fa-IR"/>
        </w:rPr>
        <w:t>pertanto la Napoli Holding nel corso del 2014 non ha esercitato più direttamente tale attività, che è stata esercitata dalla Controllata ANM.</w:t>
      </w:r>
    </w:p>
    <w:p w14:paraId="1437C282" w14:textId="77777777" w:rsidR="00AA6FC7" w:rsidRPr="00106036" w:rsidRDefault="00AA6FC7" w:rsidP="000149EB">
      <w:pPr>
        <w:widowControl w:val="0"/>
        <w:suppressAutoHyphens/>
        <w:autoSpaceDN w:val="0"/>
        <w:spacing w:after="113"/>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Successivamente la Giunta Comunale con propria delibera n.  1095 del 31 dicembre 2013, in attuazione di quanto previsto nella D.C.C. n. 36/2013, ha trasferito a Napoli Holding srl, le funzioni amministrative in materia di TPL di competenza del Comune di Napoli ed approvato lo schema di convenzione per l’espletamento delle attività in questione (c.d. “Prima Convenzione”).</w:t>
      </w:r>
    </w:p>
    <w:p w14:paraId="3A2DB777" w14:textId="77777777" w:rsidR="00AA6FC7" w:rsidRPr="00106036" w:rsidRDefault="00AA6FC7" w:rsidP="000149EB">
      <w:pPr>
        <w:widowControl w:val="0"/>
        <w:suppressAutoHyphens/>
        <w:autoSpaceDN w:val="0"/>
        <w:spacing w:after="113"/>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Sia la D.C.C. n. 36/2013, sia la D.G.C. n. 1095/2013, nel prevedere il trasferimento della disponibilità in capo a Napoli Holding di tutti gli immobili, impianti e reti di proprietà comunale, essenziali alla funzionalità del servizio di TPL in ambito metropolitano (allegato n. 9 alla D.G.C. n. 474/2013 di proposta al Consiglio, approvata con la citata D.C.C. n. 36/2013), demandavano ad un successivo atto deliberativo la definizione delle modalità e delle condizioni del trasferimento in questione.</w:t>
      </w:r>
    </w:p>
    <w:p w14:paraId="06E41997" w14:textId="77777777" w:rsidR="00AA6FC7" w:rsidRPr="00106036" w:rsidRDefault="00AA6FC7" w:rsidP="000149EB">
      <w:pPr>
        <w:widowControl w:val="0"/>
        <w:suppressAutoHyphens/>
        <w:autoSpaceDN w:val="0"/>
        <w:spacing w:after="113"/>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In data 3 novembre 2014 con D.G.C. n. 772 la Giunta Comunale ha stabilito che la disponibilità degli immobili, impianti e reti di cui all’allegato n. 9 alla D.G.C. n. 474/2013, unitamente  a quelli successivamente individuati e censiti dalla Direzione Centrale Patrimonio, fosse trasferita alla Napoli Holding S.r.l. a titolo di comodato gratuito, previa stipula di uno o più contratti di comodato che prevedano la possibilità, per la società comodataria, di assegnare a sua volta la disponibilità dei beni in questione al soggetto gestore dei servizi di TPL, nei termini e con le modalità previste dal Contratto di Servizio che si  stipulerà tra Napoli Holding S.r.l.  e il soggetto gestore. Con tale delibera è stato approvato un nuovo schema di Convenzione che ha sostituito integralmente quello allegato alla D.G.C n. 1095/2013 e si sono autorizzati i dirigenti comunali competenti alla stipula degli atti consequenziali.</w:t>
      </w:r>
    </w:p>
    <w:p w14:paraId="77B662A9" w14:textId="77777777" w:rsidR="00AA6FC7" w:rsidRPr="00106036" w:rsidRDefault="00AA6FC7" w:rsidP="000149EB">
      <w:pPr>
        <w:widowControl w:val="0"/>
        <w:suppressAutoHyphens/>
        <w:autoSpaceDN w:val="0"/>
        <w:spacing w:after="113"/>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 xml:space="preserve">In data 18/12/2014 è stata sottoscritta con il Comune di Napoli la convenzione per l’assunzione da parte della Napoli Holding S.r.l.  delle funzioni di cui alla delibera di Consiglio Comunale n. 36 del 29.07.2013 ed in pari data è stato sottoscritto con l’ANM S.p.A. il contratto per la </w:t>
      </w:r>
      <w:r w:rsidR="00C400DB" w:rsidRPr="00106036">
        <w:rPr>
          <w:rFonts w:ascii="Arial" w:eastAsia="Andale Sans UI" w:hAnsi="Arial" w:cs="Arial"/>
          <w:kern w:val="3"/>
          <w:sz w:val="20"/>
          <w:szCs w:val="20"/>
          <w:lang w:eastAsia="ja-JP" w:bidi="fa-IR"/>
        </w:rPr>
        <w:t>gestione del</w:t>
      </w:r>
      <w:r w:rsidRPr="00106036">
        <w:rPr>
          <w:rFonts w:ascii="Arial" w:eastAsia="Andale Sans UI" w:hAnsi="Arial" w:cs="Arial"/>
          <w:kern w:val="3"/>
          <w:sz w:val="20"/>
          <w:szCs w:val="20"/>
          <w:lang w:eastAsia="ja-JP" w:bidi="fa-IR"/>
        </w:rPr>
        <w:t xml:space="preserve"> servizio di trasporto urbano di superficie e metropolitano nel Comune di Napoli, affidato secondo la modalità dell’”in house providing”.</w:t>
      </w:r>
    </w:p>
    <w:p w14:paraId="2AF3DF10" w14:textId="77777777" w:rsidR="00AA6FC7" w:rsidRPr="00106036" w:rsidRDefault="00AA6FC7" w:rsidP="001223E5">
      <w:pPr>
        <w:widowControl w:val="0"/>
        <w:suppressAutoHyphens/>
        <w:autoSpaceDN w:val="0"/>
        <w:spacing w:after="113"/>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 xml:space="preserve">Con la stipula della Convenzione succitata, </w:t>
      </w:r>
      <w:r w:rsidR="00C400DB" w:rsidRPr="00106036">
        <w:rPr>
          <w:rFonts w:ascii="Arial" w:eastAsia="Andale Sans UI" w:hAnsi="Arial" w:cs="Arial"/>
          <w:kern w:val="3"/>
          <w:sz w:val="20"/>
          <w:szCs w:val="20"/>
          <w:lang w:eastAsia="ja-JP" w:bidi="fa-IR"/>
        </w:rPr>
        <w:t>il Comune</w:t>
      </w:r>
      <w:r w:rsidRPr="00106036">
        <w:rPr>
          <w:rFonts w:ascii="Arial" w:eastAsia="Andale Sans UI" w:hAnsi="Arial" w:cs="Arial"/>
          <w:kern w:val="3"/>
          <w:sz w:val="20"/>
          <w:szCs w:val="20"/>
          <w:lang w:eastAsia="ja-JP" w:bidi="fa-IR"/>
        </w:rPr>
        <w:t xml:space="preserve"> di </w:t>
      </w:r>
      <w:r w:rsidR="00C400DB" w:rsidRPr="00106036">
        <w:rPr>
          <w:rFonts w:ascii="Arial" w:eastAsia="Andale Sans UI" w:hAnsi="Arial" w:cs="Arial"/>
          <w:kern w:val="3"/>
          <w:sz w:val="20"/>
          <w:szCs w:val="20"/>
          <w:lang w:eastAsia="ja-JP" w:bidi="fa-IR"/>
        </w:rPr>
        <w:t>Napoli ha</w:t>
      </w:r>
      <w:r w:rsidRPr="00106036">
        <w:rPr>
          <w:rFonts w:ascii="Arial" w:eastAsia="Andale Sans UI" w:hAnsi="Arial" w:cs="Arial"/>
          <w:kern w:val="3"/>
          <w:sz w:val="20"/>
          <w:szCs w:val="20"/>
          <w:lang w:eastAsia="ja-JP" w:bidi="fa-IR"/>
        </w:rPr>
        <w:t xml:space="preserve"> trasferito a Napoli Holding srl le funzioni amministrative in materia di TPL di Sua competenza, in particolare: </w:t>
      </w:r>
    </w:p>
    <w:p w14:paraId="68C1316A" w14:textId="77777777" w:rsidR="00AA6FC7" w:rsidRPr="00106036" w:rsidRDefault="00AA6FC7" w:rsidP="009435F3">
      <w:pPr>
        <w:widowControl w:val="0"/>
        <w:numPr>
          <w:ilvl w:val="2"/>
          <w:numId w:val="5"/>
        </w:numPr>
        <w:suppressAutoHyphens/>
        <w:autoSpaceDN w:val="0"/>
        <w:spacing w:after="113"/>
        <w:ind w:left="567"/>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la   gestione del processo di pianificazione degli investimenti;</w:t>
      </w:r>
    </w:p>
    <w:p w14:paraId="5691B015" w14:textId="77777777" w:rsidR="00AA6FC7" w:rsidRPr="00106036" w:rsidRDefault="00AA6FC7" w:rsidP="009435F3">
      <w:pPr>
        <w:widowControl w:val="0"/>
        <w:numPr>
          <w:ilvl w:val="2"/>
          <w:numId w:val="5"/>
        </w:numPr>
        <w:suppressAutoHyphens/>
        <w:autoSpaceDN w:val="0"/>
        <w:spacing w:after="113"/>
        <w:ind w:left="567"/>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la gestione della pianificazione dei servizi per la mobilità, progettazione e programmazione dei servizi minimi e aggiuntivi, integrati fra loro e con la mobilità privata;</w:t>
      </w:r>
    </w:p>
    <w:p w14:paraId="2E1D0A25" w14:textId="77777777" w:rsidR="00AA6FC7" w:rsidRPr="00106036" w:rsidRDefault="00AA6FC7" w:rsidP="009435F3">
      <w:pPr>
        <w:widowControl w:val="0"/>
        <w:numPr>
          <w:ilvl w:val="2"/>
          <w:numId w:val="5"/>
        </w:numPr>
        <w:suppressAutoHyphens/>
        <w:autoSpaceDN w:val="0"/>
        <w:spacing w:after="113"/>
        <w:ind w:left="567"/>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la gestione delle procedure concorsuali di affidamento dei servizi di competenza degli enti locali;</w:t>
      </w:r>
    </w:p>
    <w:p w14:paraId="2B1AF23A" w14:textId="77777777" w:rsidR="00AA6FC7" w:rsidRPr="00106036" w:rsidRDefault="00AA6FC7" w:rsidP="009435F3">
      <w:pPr>
        <w:widowControl w:val="0"/>
        <w:numPr>
          <w:ilvl w:val="2"/>
          <w:numId w:val="5"/>
        </w:numPr>
        <w:suppressAutoHyphens/>
        <w:autoSpaceDN w:val="0"/>
        <w:spacing w:after="113"/>
        <w:ind w:left="567"/>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la stipula degli accordi di programma e redazione dei contratti di servizio;</w:t>
      </w:r>
    </w:p>
    <w:p w14:paraId="43CB6B2B" w14:textId="77777777" w:rsidR="00AA6FC7" w:rsidRPr="00106036" w:rsidRDefault="00AA6FC7" w:rsidP="009435F3">
      <w:pPr>
        <w:widowControl w:val="0"/>
        <w:numPr>
          <w:ilvl w:val="2"/>
          <w:numId w:val="5"/>
        </w:numPr>
        <w:suppressAutoHyphens/>
        <w:autoSpaceDN w:val="0"/>
        <w:spacing w:after="113"/>
        <w:ind w:left="567"/>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 xml:space="preserve">il controllo, la vigilanza e </w:t>
      </w:r>
      <w:r w:rsidR="00C400DB" w:rsidRPr="00106036">
        <w:rPr>
          <w:rFonts w:ascii="Arial" w:eastAsia="Andale Sans UI" w:hAnsi="Arial" w:cs="Arial"/>
          <w:kern w:val="3"/>
          <w:sz w:val="20"/>
          <w:szCs w:val="20"/>
          <w:lang w:eastAsia="ja-JP" w:bidi="fa-IR"/>
        </w:rPr>
        <w:t>il monitoraggio</w:t>
      </w:r>
      <w:r w:rsidRPr="00106036">
        <w:rPr>
          <w:rFonts w:ascii="Arial" w:eastAsia="Andale Sans UI" w:hAnsi="Arial" w:cs="Arial"/>
          <w:kern w:val="3"/>
          <w:sz w:val="20"/>
          <w:szCs w:val="20"/>
          <w:lang w:eastAsia="ja-JP" w:bidi="fa-IR"/>
        </w:rPr>
        <w:t xml:space="preserve"> dello svolgimento dei servizi e verifica della parità e dell’uguaglianza di trattamento degli utenti. </w:t>
      </w:r>
    </w:p>
    <w:p w14:paraId="6DDB3120" w14:textId="79FCE98B" w:rsidR="000229A9" w:rsidRPr="00106036" w:rsidRDefault="009C6EFA" w:rsidP="001223E5">
      <w:pPr>
        <w:pStyle w:val="Premesse"/>
        <w:numPr>
          <w:ilvl w:val="0"/>
          <w:numId w:val="0"/>
        </w:numPr>
        <w:rPr>
          <w:rFonts w:ascii="Arial" w:hAnsi="Arial" w:cs="Arial"/>
          <w:sz w:val="20"/>
          <w:szCs w:val="20"/>
        </w:rPr>
      </w:pPr>
      <w:r w:rsidRPr="00106036">
        <w:rPr>
          <w:rFonts w:ascii="Arial" w:hAnsi="Arial" w:cs="Arial"/>
          <w:sz w:val="20"/>
          <w:szCs w:val="20"/>
        </w:rPr>
        <w:t xml:space="preserve">In conseguenza di tale </w:t>
      </w:r>
      <w:r w:rsidR="00AA6FC7" w:rsidRPr="00106036">
        <w:rPr>
          <w:rFonts w:ascii="Arial" w:eastAsia="Times New Roman" w:hAnsi="Arial" w:cs="Arial"/>
          <w:kern w:val="0"/>
          <w:sz w:val="20"/>
          <w:szCs w:val="20"/>
          <w:lang w:eastAsia="it-IT" w:bidi="ar-SA"/>
        </w:rPr>
        <w:t>convenzione</w:t>
      </w:r>
      <w:r w:rsidRPr="00106036">
        <w:rPr>
          <w:rFonts w:ascii="Arial" w:hAnsi="Arial" w:cs="Arial"/>
          <w:sz w:val="20"/>
          <w:szCs w:val="20"/>
        </w:rPr>
        <w:t xml:space="preserve"> </w:t>
      </w:r>
      <w:r w:rsidR="00AF00E0" w:rsidRPr="00106036">
        <w:rPr>
          <w:rFonts w:ascii="Arial" w:hAnsi="Arial" w:cs="Arial"/>
          <w:snapToGrid w:val="0"/>
          <w:sz w:val="20"/>
          <w:szCs w:val="20"/>
        </w:rPr>
        <w:t>l</w:t>
      </w:r>
      <w:r w:rsidR="00B52695" w:rsidRPr="00106036">
        <w:rPr>
          <w:rFonts w:ascii="Arial" w:hAnsi="Arial" w:cs="Arial"/>
          <w:snapToGrid w:val="0"/>
          <w:sz w:val="20"/>
          <w:szCs w:val="20"/>
        </w:rPr>
        <w:t>a contro</w:t>
      </w:r>
      <w:r w:rsidR="008B18BE" w:rsidRPr="00106036">
        <w:rPr>
          <w:rFonts w:ascii="Arial" w:hAnsi="Arial" w:cs="Arial"/>
          <w:snapToGrid w:val="0"/>
          <w:sz w:val="20"/>
          <w:szCs w:val="20"/>
        </w:rPr>
        <w:t>llata ANM S</w:t>
      </w:r>
      <w:r w:rsidR="00AF00E0" w:rsidRPr="00106036">
        <w:rPr>
          <w:rFonts w:ascii="Arial" w:hAnsi="Arial" w:cs="Arial"/>
          <w:snapToGrid w:val="0"/>
          <w:sz w:val="20"/>
          <w:szCs w:val="20"/>
        </w:rPr>
        <w:t>.p.</w:t>
      </w:r>
      <w:r w:rsidR="008B18BE" w:rsidRPr="00106036">
        <w:rPr>
          <w:rFonts w:ascii="Arial" w:hAnsi="Arial" w:cs="Arial"/>
          <w:snapToGrid w:val="0"/>
          <w:sz w:val="20"/>
          <w:szCs w:val="20"/>
        </w:rPr>
        <w:t>A</w:t>
      </w:r>
      <w:r w:rsidR="00AF00E0" w:rsidRPr="00106036">
        <w:rPr>
          <w:rFonts w:ascii="Arial" w:hAnsi="Arial" w:cs="Arial"/>
          <w:snapToGrid w:val="0"/>
          <w:sz w:val="20"/>
          <w:szCs w:val="20"/>
        </w:rPr>
        <w:t xml:space="preserve">., a partire </w:t>
      </w:r>
      <w:r w:rsidR="00C400DB" w:rsidRPr="00106036">
        <w:rPr>
          <w:rFonts w:ascii="Arial" w:hAnsi="Arial" w:cs="Arial"/>
          <w:snapToGrid w:val="0"/>
          <w:sz w:val="20"/>
          <w:szCs w:val="20"/>
        </w:rPr>
        <w:t>dal 2013</w:t>
      </w:r>
      <w:r w:rsidR="00AF00E0" w:rsidRPr="00106036">
        <w:rPr>
          <w:rFonts w:ascii="Arial" w:hAnsi="Arial" w:cs="Arial"/>
          <w:snapToGrid w:val="0"/>
          <w:sz w:val="20"/>
          <w:szCs w:val="20"/>
        </w:rPr>
        <w:t xml:space="preserve"> gestisce</w:t>
      </w:r>
      <w:r w:rsidR="00B52695" w:rsidRPr="00106036">
        <w:rPr>
          <w:rFonts w:ascii="Arial" w:hAnsi="Arial" w:cs="Arial"/>
          <w:snapToGrid w:val="0"/>
          <w:sz w:val="20"/>
          <w:szCs w:val="20"/>
        </w:rPr>
        <w:t xml:space="preserve"> i servizi </w:t>
      </w:r>
      <w:r w:rsidR="00B52695" w:rsidRPr="00106036">
        <w:rPr>
          <w:rFonts w:ascii="Arial" w:hAnsi="Arial" w:cs="Arial"/>
          <w:snapToGrid w:val="0"/>
          <w:sz w:val="20"/>
          <w:szCs w:val="20"/>
        </w:rPr>
        <w:lastRenderedPageBreak/>
        <w:t xml:space="preserve">di trasporto pubblico locale su gomma e su ferro. </w:t>
      </w:r>
      <w:r w:rsidR="00AA3756" w:rsidRPr="00106036">
        <w:rPr>
          <w:rFonts w:ascii="Arial" w:hAnsi="Arial" w:cs="Arial"/>
          <w:snapToGrid w:val="0"/>
          <w:sz w:val="20"/>
          <w:szCs w:val="20"/>
        </w:rPr>
        <w:t>Mentre a partire dal 1/01/</w:t>
      </w:r>
      <w:r w:rsidR="00B52695" w:rsidRPr="00106036">
        <w:rPr>
          <w:rFonts w:ascii="Arial" w:hAnsi="Arial" w:cs="Arial"/>
          <w:snapToGrid w:val="0"/>
          <w:sz w:val="20"/>
          <w:szCs w:val="20"/>
        </w:rPr>
        <w:t xml:space="preserve">2014, a seguito della cessione del ramo d’azienda operativo della Capogruppo Napoli Holding </w:t>
      </w:r>
      <w:r w:rsidR="008B18BE" w:rsidRPr="00106036">
        <w:rPr>
          <w:rFonts w:ascii="Arial" w:hAnsi="Arial" w:cs="Arial"/>
          <w:snapToGrid w:val="0"/>
          <w:sz w:val="20"/>
          <w:szCs w:val="20"/>
        </w:rPr>
        <w:t>S</w:t>
      </w:r>
      <w:r w:rsidR="00B52695" w:rsidRPr="00106036">
        <w:rPr>
          <w:rFonts w:ascii="Arial" w:hAnsi="Arial" w:cs="Arial"/>
          <w:snapToGrid w:val="0"/>
          <w:sz w:val="20"/>
          <w:szCs w:val="20"/>
        </w:rPr>
        <w:t>.r.l.,</w:t>
      </w:r>
      <w:r w:rsidR="00AA3756" w:rsidRPr="00106036">
        <w:rPr>
          <w:rFonts w:ascii="Arial" w:hAnsi="Arial" w:cs="Arial"/>
          <w:snapToGrid w:val="0"/>
          <w:sz w:val="20"/>
          <w:szCs w:val="20"/>
        </w:rPr>
        <w:t xml:space="preserve"> la società </w:t>
      </w:r>
      <w:r w:rsidR="00C400DB" w:rsidRPr="00106036">
        <w:rPr>
          <w:rFonts w:ascii="Arial" w:hAnsi="Arial" w:cs="Arial"/>
          <w:snapToGrid w:val="0"/>
          <w:sz w:val="20"/>
          <w:szCs w:val="20"/>
        </w:rPr>
        <w:t>controllata esercita</w:t>
      </w:r>
      <w:r w:rsidR="00AA3756" w:rsidRPr="00106036">
        <w:rPr>
          <w:rFonts w:ascii="Arial" w:hAnsi="Arial" w:cs="Arial"/>
          <w:snapToGrid w:val="0"/>
          <w:sz w:val="20"/>
          <w:szCs w:val="20"/>
        </w:rPr>
        <w:t xml:space="preserve"> anche l’attività inerente </w:t>
      </w:r>
      <w:r w:rsidR="00EA120A" w:rsidRPr="00106036">
        <w:rPr>
          <w:rFonts w:ascii="Arial" w:hAnsi="Arial" w:cs="Arial"/>
          <w:sz w:val="20"/>
          <w:szCs w:val="20"/>
        </w:rPr>
        <w:t>alla</w:t>
      </w:r>
      <w:r w:rsidR="00AA3756" w:rsidRPr="00106036">
        <w:rPr>
          <w:rFonts w:ascii="Arial" w:hAnsi="Arial" w:cs="Arial"/>
          <w:sz w:val="20"/>
          <w:szCs w:val="20"/>
        </w:rPr>
        <w:t xml:space="preserve"> gestione dei servizi complementari alla mobilità. </w:t>
      </w:r>
      <w:r w:rsidR="00AA3756" w:rsidRPr="00106036">
        <w:rPr>
          <w:rFonts w:ascii="Arial" w:hAnsi="Arial" w:cs="Arial"/>
          <w:snapToGrid w:val="0"/>
          <w:sz w:val="20"/>
          <w:szCs w:val="20"/>
        </w:rPr>
        <w:t xml:space="preserve"> </w:t>
      </w:r>
    </w:p>
    <w:p w14:paraId="0CF89708" w14:textId="6BE2CC80" w:rsidR="003D695D" w:rsidRPr="00106036" w:rsidRDefault="00EE4AF0" w:rsidP="001223E5">
      <w:pPr>
        <w:spacing w:before="120" w:after="120"/>
        <w:jc w:val="both"/>
        <w:rPr>
          <w:rFonts w:ascii="Arial" w:hAnsi="Arial" w:cs="Arial"/>
          <w:sz w:val="20"/>
          <w:szCs w:val="20"/>
        </w:rPr>
      </w:pPr>
      <w:r w:rsidRPr="00106036">
        <w:rPr>
          <w:rFonts w:ascii="Arial" w:hAnsi="Arial" w:cs="Arial"/>
          <w:snapToGrid w:val="0"/>
          <w:sz w:val="20"/>
          <w:szCs w:val="20"/>
        </w:rPr>
        <w:t>I rapporti contrattuali</w:t>
      </w:r>
      <w:r w:rsidR="00AF00E0" w:rsidRPr="00106036">
        <w:rPr>
          <w:rFonts w:ascii="Arial" w:hAnsi="Arial" w:cs="Arial"/>
          <w:snapToGrid w:val="0"/>
          <w:sz w:val="20"/>
          <w:szCs w:val="20"/>
        </w:rPr>
        <w:t xml:space="preserve"> </w:t>
      </w:r>
      <w:r w:rsidR="00AA3756" w:rsidRPr="00106036">
        <w:rPr>
          <w:rFonts w:ascii="Arial" w:hAnsi="Arial" w:cs="Arial"/>
          <w:snapToGrid w:val="0"/>
          <w:sz w:val="20"/>
          <w:szCs w:val="20"/>
        </w:rPr>
        <w:t xml:space="preserve">del Gruppo, </w:t>
      </w:r>
      <w:r w:rsidR="00AF00E0" w:rsidRPr="00106036">
        <w:rPr>
          <w:rFonts w:ascii="Arial" w:hAnsi="Arial" w:cs="Arial"/>
          <w:snapToGrid w:val="0"/>
          <w:sz w:val="20"/>
          <w:szCs w:val="20"/>
        </w:rPr>
        <w:t xml:space="preserve">in </w:t>
      </w:r>
      <w:r w:rsidR="00C400DB" w:rsidRPr="00106036">
        <w:rPr>
          <w:rFonts w:ascii="Arial" w:hAnsi="Arial" w:cs="Arial"/>
          <w:snapToGrid w:val="0"/>
          <w:sz w:val="20"/>
          <w:szCs w:val="20"/>
        </w:rPr>
        <w:t>essere con</w:t>
      </w:r>
      <w:r w:rsidRPr="00106036">
        <w:rPr>
          <w:rFonts w:ascii="Arial" w:hAnsi="Arial" w:cs="Arial"/>
          <w:snapToGrid w:val="0"/>
          <w:sz w:val="20"/>
          <w:szCs w:val="20"/>
        </w:rPr>
        <w:t xml:space="preserve"> il Comune di Napoli</w:t>
      </w:r>
      <w:r w:rsidR="00AA3756" w:rsidRPr="00106036">
        <w:rPr>
          <w:rFonts w:ascii="Arial" w:hAnsi="Arial" w:cs="Arial"/>
          <w:snapToGrid w:val="0"/>
          <w:sz w:val="20"/>
          <w:szCs w:val="20"/>
        </w:rPr>
        <w:t>,</w:t>
      </w:r>
      <w:r w:rsidRPr="00106036">
        <w:rPr>
          <w:rFonts w:ascii="Arial" w:hAnsi="Arial" w:cs="Arial"/>
          <w:snapToGrid w:val="0"/>
          <w:sz w:val="20"/>
          <w:szCs w:val="20"/>
        </w:rPr>
        <w:t xml:space="preserve"> sono </w:t>
      </w:r>
      <w:r w:rsidR="00AF00E0" w:rsidRPr="00106036">
        <w:rPr>
          <w:rFonts w:ascii="Arial" w:hAnsi="Arial" w:cs="Arial"/>
          <w:snapToGrid w:val="0"/>
          <w:sz w:val="20"/>
          <w:szCs w:val="20"/>
        </w:rPr>
        <w:t xml:space="preserve">relativi ai </w:t>
      </w:r>
      <w:r w:rsidR="00C400DB" w:rsidRPr="00106036">
        <w:rPr>
          <w:rFonts w:ascii="Arial" w:hAnsi="Arial" w:cs="Arial"/>
          <w:snapToGrid w:val="0"/>
          <w:sz w:val="20"/>
          <w:szCs w:val="20"/>
        </w:rPr>
        <w:t xml:space="preserve">contratti </w:t>
      </w:r>
      <w:r w:rsidR="00C400DB" w:rsidRPr="00106036">
        <w:rPr>
          <w:rFonts w:ascii="Arial" w:hAnsi="Arial" w:cs="Arial"/>
          <w:sz w:val="20"/>
          <w:szCs w:val="20"/>
        </w:rPr>
        <w:t>di</w:t>
      </w:r>
      <w:r w:rsidR="00AF00E0" w:rsidRPr="00106036">
        <w:rPr>
          <w:rFonts w:ascii="Arial" w:hAnsi="Arial" w:cs="Arial"/>
          <w:sz w:val="20"/>
          <w:szCs w:val="20"/>
        </w:rPr>
        <w:t xml:space="preserve"> servizio che riguardano, da un lato</w:t>
      </w:r>
      <w:r w:rsidR="00FA68F4">
        <w:rPr>
          <w:rFonts w:ascii="Arial" w:hAnsi="Arial" w:cs="Arial"/>
          <w:sz w:val="20"/>
          <w:szCs w:val="20"/>
        </w:rPr>
        <w:t xml:space="preserve"> </w:t>
      </w:r>
      <w:r w:rsidR="00884B09" w:rsidRPr="00106036">
        <w:rPr>
          <w:rFonts w:ascii="Arial" w:hAnsi="Arial" w:cs="Arial"/>
          <w:sz w:val="20"/>
          <w:szCs w:val="20"/>
        </w:rPr>
        <w:t xml:space="preserve">il TPL e </w:t>
      </w:r>
      <w:r w:rsidR="00D65236" w:rsidRPr="00106036">
        <w:rPr>
          <w:rFonts w:ascii="Arial" w:hAnsi="Arial" w:cs="Arial"/>
          <w:sz w:val="20"/>
          <w:szCs w:val="20"/>
        </w:rPr>
        <w:t>dall’altro la</w:t>
      </w:r>
      <w:r w:rsidR="00884B09" w:rsidRPr="00106036">
        <w:rPr>
          <w:rFonts w:ascii="Arial" w:hAnsi="Arial" w:cs="Arial"/>
          <w:sz w:val="20"/>
          <w:szCs w:val="20"/>
        </w:rPr>
        <w:t xml:space="preserve"> sosta e i servizi alla mobilità.</w:t>
      </w:r>
      <w:r w:rsidR="00875DAE" w:rsidRPr="00106036">
        <w:rPr>
          <w:rFonts w:ascii="Arial" w:hAnsi="Arial" w:cs="Arial"/>
          <w:sz w:val="20"/>
          <w:szCs w:val="20"/>
        </w:rPr>
        <w:t xml:space="preserve"> </w:t>
      </w:r>
      <w:r w:rsidR="00AF00E0" w:rsidRPr="00106036">
        <w:rPr>
          <w:rFonts w:ascii="Arial" w:hAnsi="Arial" w:cs="Arial"/>
          <w:sz w:val="20"/>
          <w:szCs w:val="20"/>
        </w:rPr>
        <w:t xml:space="preserve">Tali contratti </w:t>
      </w:r>
      <w:r w:rsidR="00183778" w:rsidRPr="00106036">
        <w:rPr>
          <w:rFonts w:ascii="Arial" w:hAnsi="Arial" w:cs="Arial"/>
          <w:sz w:val="20"/>
          <w:szCs w:val="20"/>
        </w:rPr>
        <w:t>defin</w:t>
      </w:r>
      <w:r w:rsidR="00B52695" w:rsidRPr="00106036">
        <w:rPr>
          <w:rFonts w:ascii="Arial" w:hAnsi="Arial" w:cs="Arial"/>
          <w:sz w:val="20"/>
          <w:szCs w:val="20"/>
        </w:rPr>
        <w:t>iscono le attività affidate al</w:t>
      </w:r>
      <w:r w:rsidR="00140164">
        <w:rPr>
          <w:rFonts w:ascii="Arial" w:hAnsi="Arial" w:cs="Arial"/>
          <w:sz w:val="20"/>
          <w:szCs w:val="20"/>
        </w:rPr>
        <w:t xml:space="preserve"> Gruppo</w:t>
      </w:r>
      <w:r w:rsidR="00183778" w:rsidRPr="00106036">
        <w:rPr>
          <w:rFonts w:ascii="Arial" w:hAnsi="Arial" w:cs="Arial"/>
          <w:sz w:val="20"/>
          <w:szCs w:val="20"/>
        </w:rPr>
        <w:t>, le modalità di gestione dei servizi ed i corrispettivi economici relativi.</w:t>
      </w:r>
      <w:r w:rsidR="006A5571" w:rsidRPr="00106036">
        <w:rPr>
          <w:rFonts w:ascii="Arial" w:hAnsi="Arial" w:cs="Arial"/>
          <w:sz w:val="20"/>
          <w:szCs w:val="20"/>
        </w:rPr>
        <w:t xml:space="preserve"> </w:t>
      </w:r>
      <w:r w:rsidR="00DA1F37" w:rsidRPr="00106036">
        <w:rPr>
          <w:rFonts w:ascii="Arial" w:hAnsi="Arial" w:cs="Arial"/>
          <w:sz w:val="20"/>
          <w:szCs w:val="20"/>
        </w:rPr>
        <w:t xml:space="preserve">La controllata ANM è inoltre titolare di un contratto ponte per la gestione di alcune linee suburbane. </w:t>
      </w:r>
    </w:p>
    <w:p w14:paraId="37C6D1DE" w14:textId="77777777" w:rsidR="00183778" w:rsidRPr="00106036" w:rsidRDefault="003D695D" w:rsidP="001223E5">
      <w:pPr>
        <w:spacing w:before="120" w:after="120"/>
        <w:jc w:val="both"/>
        <w:rPr>
          <w:rFonts w:ascii="Arial" w:hAnsi="Arial" w:cs="Arial"/>
          <w:sz w:val="20"/>
          <w:szCs w:val="20"/>
        </w:rPr>
      </w:pPr>
      <w:r w:rsidRPr="00106036">
        <w:rPr>
          <w:rFonts w:ascii="Arial" w:hAnsi="Arial" w:cs="Arial"/>
          <w:sz w:val="20"/>
          <w:szCs w:val="20"/>
        </w:rPr>
        <w:t>L</w:t>
      </w:r>
      <w:r w:rsidR="00AF00E0" w:rsidRPr="00106036">
        <w:rPr>
          <w:rFonts w:ascii="Arial" w:hAnsi="Arial" w:cs="Arial"/>
          <w:sz w:val="20"/>
          <w:szCs w:val="20"/>
        </w:rPr>
        <w:t>e attività svolte dal Gruppo sono di seguito sintetizzate:</w:t>
      </w:r>
    </w:p>
    <w:p w14:paraId="616E01D2" w14:textId="77777777" w:rsidR="00DA1F37" w:rsidRPr="00106036" w:rsidRDefault="007F15B0" w:rsidP="009435F3">
      <w:pPr>
        <w:numPr>
          <w:ilvl w:val="0"/>
          <w:numId w:val="2"/>
        </w:numPr>
        <w:spacing w:before="120" w:after="120"/>
        <w:ind w:left="567"/>
        <w:jc w:val="both"/>
        <w:rPr>
          <w:rFonts w:ascii="Arial" w:hAnsi="Arial" w:cs="Arial"/>
          <w:sz w:val="20"/>
          <w:szCs w:val="20"/>
        </w:rPr>
      </w:pPr>
      <w:r w:rsidRPr="00106036">
        <w:rPr>
          <w:rFonts w:ascii="Arial" w:hAnsi="Arial" w:cs="Arial"/>
          <w:sz w:val="20"/>
          <w:szCs w:val="20"/>
        </w:rPr>
        <w:t>g</w:t>
      </w:r>
      <w:r w:rsidR="00DA1F37" w:rsidRPr="00106036">
        <w:rPr>
          <w:rFonts w:ascii="Arial" w:hAnsi="Arial" w:cs="Arial"/>
          <w:sz w:val="20"/>
          <w:szCs w:val="20"/>
        </w:rPr>
        <w:t>estione trasporto con autobus in area urbana e suburbana;</w:t>
      </w:r>
    </w:p>
    <w:p w14:paraId="5448BCC4" w14:textId="77777777" w:rsidR="00DA1F37" w:rsidRPr="00106036" w:rsidRDefault="007F15B0" w:rsidP="009435F3">
      <w:pPr>
        <w:numPr>
          <w:ilvl w:val="0"/>
          <w:numId w:val="2"/>
        </w:numPr>
        <w:spacing w:before="120" w:after="120"/>
        <w:ind w:left="567"/>
        <w:jc w:val="both"/>
        <w:rPr>
          <w:rFonts w:ascii="Arial" w:hAnsi="Arial" w:cs="Arial"/>
          <w:sz w:val="20"/>
          <w:szCs w:val="20"/>
        </w:rPr>
      </w:pPr>
      <w:r w:rsidRPr="00106036">
        <w:rPr>
          <w:rFonts w:ascii="Arial" w:hAnsi="Arial" w:cs="Arial"/>
          <w:sz w:val="20"/>
          <w:szCs w:val="20"/>
        </w:rPr>
        <w:t>g</w:t>
      </w:r>
      <w:r w:rsidR="00DA1F37" w:rsidRPr="00106036">
        <w:rPr>
          <w:rFonts w:ascii="Arial" w:hAnsi="Arial" w:cs="Arial"/>
          <w:sz w:val="20"/>
          <w:szCs w:val="20"/>
        </w:rPr>
        <w:t>estione trasporto tranviario in area urbane;</w:t>
      </w:r>
    </w:p>
    <w:p w14:paraId="057E7F20" w14:textId="77777777" w:rsidR="000F39D8" w:rsidRPr="00106036" w:rsidRDefault="000F39D8" w:rsidP="009435F3">
      <w:pPr>
        <w:numPr>
          <w:ilvl w:val="0"/>
          <w:numId w:val="2"/>
        </w:numPr>
        <w:spacing w:before="120" w:after="120"/>
        <w:ind w:left="567"/>
        <w:jc w:val="both"/>
        <w:rPr>
          <w:rFonts w:ascii="Arial" w:hAnsi="Arial" w:cs="Arial"/>
          <w:sz w:val="20"/>
          <w:szCs w:val="20"/>
        </w:rPr>
      </w:pPr>
      <w:r w:rsidRPr="00106036">
        <w:rPr>
          <w:rFonts w:ascii="Arial" w:hAnsi="Arial" w:cs="Arial"/>
          <w:sz w:val="20"/>
          <w:szCs w:val="20"/>
        </w:rPr>
        <w:t xml:space="preserve">gestione degli ascensori </w:t>
      </w:r>
      <w:r w:rsidR="005E7CE4" w:rsidRPr="00106036">
        <w:rPr>
          <w:rFonts w:ascii="Arial" w:hAnsi="Arial" w:cs="Arial"/>
          <w:sz w:val="20"/>
          <w:szCs w:val="20"/>
        </w:rPr>
        <w:t>pubblici;</w:t>
      </w:r>
    </w:p>
    <w:p w14:paraId="60DFB2E2" w14:textId="77777777" w:rsidR="00DA1F37" w:rsidRPr="00106036" w:rsidRDefault="007F15B0" w:rsidP="009435F3">
      <w:pPr>
        <w:numPr>
          <w:ilvl w:val="0"/>
          <w:numId w:val="2"/>
        </w:numPr>
        <w:spacing w:before="120" w:after="120"/>
        <w:ind w:left="567"/>
        <w:jc w:val="both"/>
        <w:rPr>
          <w:rFonts w:ascii="Arial" w:hAnsi="Arial" w:cs="Arial"/>
          <w:sz w:val="20"/>
          <w:szCs w:val="20"/>
        </w:rPr>
      </w:pPr>
      <w:r w:rsidRPr="00106036">
        <w:rPr>
          <w:rFonts w:ascii="Arial" w:hAnsi="Arial" w:cs="Arial"/>
          <w:sz w:val="20"/>
          <w:szCs w:val="20"/>
        </w:rPr>
        <w:t>g</w:t>
      </w:r>
      <w:r w:rsidR="00DA1F37" w:rsidRPr="00106036">
        <w:rPr>
          <w:rFonts w:ascii="Arial" w:hAnsi="Arial" w:cs="Arial"/>
          <w:sz w:val="20"/>
          <w:szCs w:val="20"/>
        </w:rPr>
        <w:t>estione delle linee metropolitane n. 1 e n. 6;</w:t>
      </w:r>
    </w:p>
    <w:p w14:paraId="00DE7427" w14:textId="77777777" w:rsidR="007F15B0" w:rsidRPr="00106036" w:rsidRDefault="007F15B0" w:rsidP="009435F3">
      <w:pPr>
        <w:numPr>
          <w:ilvl w:val="0"/>
          <w:numId w:val="2"/>
        </w:numPr>
        <w:spacing w:before="120" w:after="120"/>
        <w:ind w:left="567"/>
        <w:jc w:val="both"/>
        <w:rPr>
          <w:rFonts w:ascii="Arial" w:hAnsi="Arial" w:cs="Arial"/>
          <w:sz w:val="20"/>
          <w:szCs w:val="20"/>
        </w:rPr>
      </w:pPr>
      <w:r w:rsidRPr="00106036">
        <w:rPr>
          <w:rFonts w:ascii="Arial" w:hAnsi="Arial" w:cs="Arial"/>
          <w:sz w:val="20"/>
          <w:szCs w:val="20"/>
        </w:rPr>
        <w:t>g</w:t>
      </w:r>
      <w:r w:rsidR="00DA1F37" w:rsidRPr="00106036">
        <w:rPr>
          <w:rFonts w:ascii="Arial" w:hAnsi="Arial" w:cs="Arial"/>
          <w:sz w:val="20"/>
          <w:szCs w:val="20"/>
        </w:rPr>
        <w:t>estione della funicolare centrale, de</w:t>
      </w:r>
      <w:r w:rsidR="001E23E4" w:rsidRPr="00106036">
        <w:rPr>
          <w:rFonts w:ascii="Arial" w:hAnsi="Arial" w:cs="Arial"/>
          <w:sz w:val="20"/>
          <w:szCs w:val="20"/>
        </w:rPr>
        <w:t xml:space="preserve">lla funicolare di Chiaia, della </w:t>
      </w:r>
      <w:r w:rsidR="00DA1F37" w:rsidRPr="00106036">
        <w:rPr>
          <w:rFonts w:ascii="Arial" w:hAnsi="Arial" w:cs="Arial"/>
          <w:sz w:val="20"/>
          <w:szCs w:val="20"/>
        </w:rPr>
        <w:t xml:space="preserve">funicolare di </w:t>
      </w:r>
      <w:r w:rsidRPr="00106036">
        <w:rPr>
          <w:rFonts w:ascii="Arial" w:hAnsi="Arial" w:cs="Arial"/>
          <w:sz w:val="20"/>
          <w:szCs w:val="20"/>
        </w:rPr>
        <w:t>Montesanto e della funicolare di Mergellina;</w:t>
      </w:r>
    </w:p>
    <w:p w14:paraId="711AACCB" w14:textId="77777777" w:rsidR="007F15B0" w:rsidRPr="00106036" w:rsidRDefault="007F15B0" w:rsidP="009435F3">
      <w:pPr>
        <w:numPr>
          <w:ilvl w:val="0"/>
          <w:numId w:val="2"/>
        </w:numPr>
        <w:spacing w:before="120" w:after="120"/>
        <w:ind w:left="567"/>
        <w:jc w:val="both"/>
        <w:rPr>
          <w:rFonts w:ascii="Arial" w:hAnsi="Arial" w:cs="Arial"/>
          <w:sz w:val="20"/>
          <w:szCs w:val="20"/>
        </w:rPr>
      </w:pPr>
      <w:r w:rsidRPr="00106036">
        <w:rPr>
          <w:rFonts w:ascii="Arial" w:hAnsi="Arial" w:cs="Arial"/>
          <w:sz w:val="20"/>
          <w:szCs w:val="20"/>
        </w:rPr>
        <w:t xml:space="preserve">gestione di circa </w:t>
      </w:r>
      <w:r w:rsidR="00800E68" w:rsidRPr="00106036">
        <w:rPr>
          <w:rFonts w:ascii="Arial" w:hAnsi="Arial" w:cs="Arial"/>
          <w:sz w:val="20"/>
          <w:szCs w:val="20"/>
        </w:rPr>
        <w:t>23.000</w:t>
      </w:r>
      <w:r w:rsidR="00183778" w:rsidRPr="00106036">
        <w:rPr>
          <w:rFonts w:ascii="Arial" w:hAnsi="Arial" w:cs="Arial"/>
          <w:sz w:val="20"/>
          <w:szCs w:val="20"/>
        </w:rPr>
        <w:t xml:space="preserve"> stalli</w:t>
      </w:r>
      <w:r w:rsidRPr="00106036">
        <w:rPr>
          <w:rFonts w:ascii="Arial" w:hAnsi="Arial" w:cs="Arial"/>
          <w:sz w:val="20"/>
          <w:szCs w:val="20"/>
        </w:rPr>
        <w:t xml:space="preserve"> di sosta a raso nel Comune di Napoli;</w:t>
      </w:r>
    </w:p>
    <w:p w14:paraId="2763E388" w14:textId="77777777" w:rsidR="007F15B0" w:rsidRPr="00106036" w:rsidRDefault="007F15B0" w:rsidP="009435F3">
      <w:pPr>
        <w:numPr>
          <w:ilvl w:val="0"/>
          <w:numId w:val="2"/>
        </w:numPr>
        <w:spacing w:before="120" w:after="120"/>
        <w:ind w:left="567"/>
        <w:jc w:val="both"/>
        <w:rPr>
          <w:rFonts w:ascii="Arial" w:hAnsi="Arial" w:cs="Arial"/>
          <w:sz w:val="20"/>
          <w:szCs w:val="20"/>
        </w:rPr>
      </w:pPr>
      <w:r w:rsidRPr="00106036">
        <w:rPr>
          <w:rFonts w:ascii="Arial" w:hAnsi="Arial" w:cs="Arial"/>
          <w:sz w:val="20"/>
          <w:szCs w:val="20"/>
        </w:rPr>
        <w:t xml:space="preserve">gestione dei </w:t>
      </w:r>
      <w:r w:rsidR="00183778" w:rsidRPr="00106036">
        <w:rPr>
          <w:rFonts w:ascii="Arial" w:hAnsi="Arial" w:cs="Arial"/>
          <w:sz w:val="20"/>
          <w:szCs w:val="20"/>
        </w:rPr>
        <w:t xml:space="preserve">parcheggi </w:t>
      </w:r>
      <w:r w:rsidR="00C72173" w:rsidRPr="00106036">
        <w:rPr>
          <w:rFonts w:ascii="Arial" w:hAnsi="Arial" w:cs="Arial"/>
          <w:sz w:val="20"/>
          <w:szCs w:val="20"/>
        </w:rPr>
        <w:t xml:space="preserve">in struttura </w:t>
      </w:r>
      <w:r w:rsidRPr="00106036">
        <w:rPr>
          <w:rFonts w:ascii="Arial" w:hAnsi="Arial" w:cs="Arial"/>
          <w:sz w:val="20"/>
          <w:szCs w:val="20"/>
        </w:rPr>
        <w:t>di</w:t>
      </w:r>
      <w:r w:rsidR="00674587" w:rsidRPr="00106036">
        <w:rPr>
          <w:rFonts w:ascii="Arial" w:hAnsi="Arial" w:cs="Arial"/>
          <w:sz w:val="20"/>
          <w:szCs w:val="20"/>
        </w:rPr>
        <w:t xml:space="preserve"> Frullone, di Via dell’Erba, di </w:t>
      </w:r>
      <w:r w:rsidRPr="00106036">
        <w:rPr>
          <w:rFonts w:ascii="Arial" w:hAnsi="Arial" w:cs="Arial"/>
          <w:sz w:val="20"/>
          <w:szCs w:val="20"/>
        </w:rPr>
        <w:t xml:space="preserve">Colli Aminei, di Brin, di Pianura e </w:t>
      </w:r>
      <w:r w:rsidR="00183778" w:rsidRPr="00106036">
        <w:rPr>
          <w:rFonts w:ascii="Arial" w:hAnsi="Arial" w:cs="Arial"/>
          <w:sz w:val="20"/>
          <w:szCs w:val="20"/>
        </w:rPr>
        <w:t>del Centro Direzionale di Napol</w:t>
      </w:r>
      <w:r w:rsidR="001A68FC" w:rsidRPr="00106036">
        <w:rPr>
          <w:rFonts w:ascii="Arial" w:hAnsi="Arial" w:cs="Arial"/>
          <w:sz w:val="20"/>
          <w:szCs w:val="20"/>
        </w:rPr>
        <w:t>i, di Bagnoli, Ponticelli e Policlinico</w:t>
      </w:r>
    </w:p>
    <w:p w14:paraId="3E1C9A1E" w14:textId="77777777" w:rsidR="007F15B0" w:rsidRPr="00106036" w:rsidRDefault="00FA7275" w:rsidP="009435F3">
      <w:pPr>
        <w:numPr>
          <w:ilvl w:val="0"/>
          <w:numId w:val="2"/>
        </w:numPr>
        <w:spacing w:before="120" w:after="120"/>
        <w:ind w:left="567"/>
        <w:jc w:val="both"/>
        <w:rPr>
          <w:rFonts w:ascii="Arial" w:hAnsi="Arial" w:cs="Arial"/>
          <w:sz w:val="20"/>
          <w:szCs w:val="20"/>
        </w:rPr>
      </w:pPr>
      <w:r w:rsidRPr="00106036">
        <w:rPr>
          <w:rFonts w:ascii="Arial" w:hAnsi="Arial" w:cs="Arial"/>
          <w:sz w:val="20"/>
          <w:szCs w:val="20"/>
        </w:rPr>
        <w:t xml:space="preserve"> lavori di segnaletica;</w:t>
      </w:r>
    </w:p>
    <w:p w14:paraId="6A515633" w14:textId="77777777" w:rsidR="001A68FC" w:rsidRPr="00106036" w:rsidRDefault="00183778" w:rsidP="002A6D64">
      <w:pPr>
        <w:numPr>
          <w:ilvl w:val="0"/>
          <w:numId w:val="2"/>
        </w:numPr>
        <w:spacing w:before="120" w:after="120"/>
        <w:ind w:left="567"/>
        <w:jc w:val="both"/>
        <w:rPr>
          <w:rFonts w:ascii="Arial" w:hAnsi="Arial" w:cs="Arial"/>
          <w:sz w:val="20"/>
          <w:szCs w:val="20"/>
        </w:rPr>
      </w:pPr>
      <w:r w:rsidRPr="00106036">
        <w:rPr>
          <w:rFonts w:ascii="Arial" w:hAnsi="Arial" w:cs="Arial"/>
          <w:sz w:val="20"/>
          <w:szCs w:val="20"/>
        </w:rPr>
        <w:t xml:space="preserve">gestione degli impianti semaforici </w:t>
      </w:r>
    </w:p>
    <w:p w14:paraId="4D64D28B" w14:textId="77777777" w:rsidR="00E82B36" w:rsidRPr="00106036" w:rsidRDefault="00E82B36" w:rsidP="00E82B36">
      <w:pPr>
        <w:autoSpaceDE w:val="0"/>
        <w:autoSpaceDN w:val="0"/>
        <w:adjustRightInd w:val="0"/>
        <w:jc w:val="both"/>
        <w:rPr>
          <w:rFonts w:ascii="Arial" w:eastAsia="Andale Sans UI" w:hAnsi="Arial" w:cs="Arial"/>
          <w:snapToGrid w:val="0"/>
          <w:kern w:val="3"/>
          <w:sz w:val="20"/>
          <w:lang w:eastAsia="ja-JP" w:bidi="fa-IR"/>
        </w:rPr>
      </w:pPr>
      <w:r w:rsidRPr="00106036">
        <w:rPr>
          <w:rFonts w:ascii="Arial" w:hAnsi="Arial" w:cs="Arial"/>
          <w:sz w:val="20"/>
          <w:szCs w:val="20"/>
        </w:rPr>
        <w:t>In data 15/07/2015</w:t>
      </w:r>
      <w:r w:rsidR="00574A21" w:rsidRPr="00106036">
        <w:rPr>
          <w:rFonts w:ascii="Arial" w:hAnsi="Arial" w:cs="Arial"/>
          <w:sz w:val="20"/>
          <w:szCs w:val="20"/>
        </w:rPr>
        <w:t>, facendo seguito alla DGC 772 del 3/11/2014 in cui la Giunta C</w:t>
      </w:r>
      <w:r w:rsidR="001A68FC" w:rsidRPr="00106036">
        <w:rPr>
          <w:rFonts w:ascii="Arial" w:hAnsi="Arial" w:cs="Arial"/>
          <w:sz w:val="20"/>
          <w:szCs w:val="20"/>
        </w:rPr>
        <w:t>omunale</w:t>
      </w:r>
      <w:r w:rsidR="00574A21" w:rsidRPr="00106036">
        <w:rPr>
          <w:rFonts w:ascii="Arial" w:hAnsi="Arial" w:cs="Arial"/>
          <w:sz w:val="20"/>
          <w:szCs w:val="20"/>
        </w:rPr>
        <w:t xml:space="preserve"> ha stabilito</w:t>
      </w:r>
      <w:r w:rsidRPr="00106036">
        <w:rPr>
          <w:rFonts w:ascii="Arial" w:hAnsi="Arial" w:cs="Arial"/>
          <w:sz w:val="20"/>
          <w:szCs w:val="20"/>
        </w:rPr>
        <w:t xml:space="preserve"> che la disponibilità degli immobili, impianti e reti di cui </w:t>
      </w:r>
      <w:r w:rsidRPr="00106036">
        <w:rPr>
          <w:rFonts w:ascii="Arial" w:eastAsia="Andale Sans UI" w:hAnsi="Arial" w:cs="Arial"/>
          <w:snapToGrid w:val="0"/>
          <w:kern w:val="3"/>
          <w:sz w:val="20"/>
          <w:lang w:eastAsia="ja-JP" w:bidi="fa-IR"/>
        </w:rPr>
        <w:t>all'allegato n. 9 alla DGC n. 474/2</w:t>
      </w:r>
      <w:r w:rsidR="00574A21" w:rsidRPr="00106036">
        <w:rPr>
          <w:rFonts w:ascii="Arial" w:eastAsia="Andale Sans UI" w:hAnsi="Arial" w:cs="Arial"/>
          <w:snapToGrid w:val="0"/>
          <w:kern w:val="3"/>
          <w:sz w:val="20"/>
          <w:lang w:eastAsia="ja-JP" w:bidi="fa-IR"/>
        </w:rPr>
        <w:t>0</w:t>
      </w:r>
      <w:r w:rsidRPr="00106036">
        <w:rPr>
          <w:rFonts w:ascii="Arial" w:eastAsia="Andale Sans UI" w:hAnsi="Arial" w:cs="Arial"/>
          <w:snapToGrid w:val="0"/>
          <w:kern w:val="3"/>
          <w:sz w:val="20"/>
          <w:lang w:eastAsia="ja-JP" w:bidi="fa-IR"/>
        </w:rPr>
        <w:t>13 sia trasferita alla Napoli Holding a titolo di comodato e/o concessione in uso gratuito, è stato stipulato il contratto di concessione gratuito delle funicolari di Chiaia, Montesanto e Centrale.</w:t>
      </w:r>
    </w:p>
    <w:p w14:paraId="2FEE0D8B" w14:textId="77777777" w:rsidR="00E82B36" w:rsidRPr="00106036" w:rsidRDefault="00E82B36" w:rsidP="00E82B36">
      <w:pPr>
        <w:autoSpaceDE w:val="0"/>
        <w:autoSpaceDN w:val="0"/>
        <w:adjustRightInd w:val="0"/>
        <w:jc w:val="both"/>
        <w:rPr>
          <w:rFonts w:ascii="Arial" w:eastAsia="Andale Sans UI" w:hAnsi="Arial" w:cs="Arial"/>
          <w:snapToGrid w:val="0"/>
          <w:kern w:val="3"/>
          <w:sz w:val="20"/>
          <w:lang w:eastAsia="ja-JP" w:bidi="fa-IR"/>
        </w:rPr>
      </w:pPr>
      <w:r w:rsidRPr="00106036">
        <w:rPr>
          <w:rFonts w:ascii="Arial" w:eastAsia="Andale Sans UI" w:hAnsi="Arial" w:cs="Arial"/>
          <w:snapToGrid w:val="0"/>
          <w:kern w:val="3"/>
          <w:sz w:val="20"/>
          <w:lang w:eastAsia="ja-JP" w:bidi="fa-IR"/>
        </w:rPr>
        <w:t>Successivamente, ai sensi dell'art 4 del contratto di servizio stipulato in data 18/12/2014 con la controllata ANM S.p.A, il 21/12/2015 è stato sottoscritto il contratto di locazione delle funicolari di Chiaia, Montesanto e Centrale strumentali all'esercizio del TPL, stabilendo un canone annuo comprensivo di una quota fissa e di una quota variabile. La quota fissa annuale è stata determinata in euro 189.000 + iva.</w:t>
      </w:r>
    </w:p>
    <w:p w14:paraId="5A8A4850" w14:textId="77777777" w:rsidR="00525288" w:rsidRPr="00106036" w:rsidRDefault="00525288" w:rsidP="00E82B36">
      <w:pPr>
        <w:autoSpaceDE w:val="0"/>
        <w:autoSpaceDN w:val="0"/>
        <w:adjustRightInd w:val="0"/>
        <w:jc w:val="both"/>
        <w:rPr>
          <w:rFonts w:ascii="Arial" w:eastAsia="Andale Sans UI" w:hAnsi="Arial" w:cs="Arial"/>
          <w:snapToGrid w:val="0"/>
          <w:kern w:val="3"/>
          <w:sz w:val="20"/>
          <w:lang w:eastAsia="ja-JP" w:bidi="fa-IR"/>
        </w:rPr>
      </w:pPr>
    </w:p>
    <w:p w14:paraId="06051575" w14:textId="77777777" w:rsidR="00AA6FC7" w:rsidRPr="00106036" w:rsidRDefault="00AA6FC7" w:rsidP="001223E5">
      <w:pPr>
        <w:pStyle w:val="Premesse"/>
        <w:numPr>
          <w:ilvl w:val="0"/>
          <w:numId w:val="0"/>
        </w:numPr>
        <w:rPr>
          <w:rFonts w:ascii="Arial" w:hAnsi="Arial" w:cs="Arial"/>
          <w:sz w:val="20"/>
          <w:szCs w:val="20"/>
        </w:rPr>
      </w:pPr>
      <w:r w:rsidRPr="00106036">
        <w:rPr>
          <w:rFonts w:ascii="Arial" w:hAnsi="Arial" w:cs="Arial"/>
          <w:snapToGrid w:val="0"/>
          <w:sz w:val="20"/>
        </w:rPr>
        <w:t>I</w:t>
      </w:r>
      <w:r w:rsidRPr="00106036">
        <w:rPr>
          <w:rFonts w:ascii="Arial" w:hAnsi="Arial" w:cs="Arial"/>
          <w:sz w:val="20"/>
          <w:szCs w:val="20"/>
        </w:rPr>
        <w:t xml:space="preserve">n data 29/12/2015 la Napoli Holding ha presentato istanza di interpello alla Direzione Centrale Normativa </w:t>
      </w:r>
      <w:r w:rsidR="00C400DB" w:rsidRPr="00106036">
        <w:rPr>
          <w:rFonts w:ascii="Arial" w:hAnsi="Arial" w:cs="Arial"/>
          <w:sz w:val="20"/>
          <w:szCs w:val="20"/>
        </w:rPr>
        <w:t>dell’Agenzia</w:t>
      </w:r>
      <w:r w:rsidRPr="00106036">
        <w:rPr>
          <w:rFonts w:ascii="Arial" w:hAnsi="Arial" w:cs="Arial"/>
          <w:sz w:val="20"/>
          <w:szCs w:val="20"/>
        </w:rPr>
        <w:t xml:space="preserve"> delle </w:t>
      </w:r>
      <w:r w:rsidR="00C400DB" w:rsidRPr="00106036">
        <w:rPr>
          <w:rFonts w:ascii="Arial" w:hAnsi="Arial" w:cs="Arial"/>
          <w:sz w:val="20"/>
          <w:szCs w:val="20"/>
        </w:rPr>
        <w:t>Entrate ai</w:t>
      </w:r>
      <w:r w:rsidRPr="00106036">
        <w:rPr>
          <w:rFonts w:ascii="Arial" w:hAnsi="Arial" w:cs="Arial"/>
          <w:sz w:val="20"/>
          <w:szCs w:val="20"/>
        </w:rPr>
        <w:t xml:space="preserve"> sensi dell’art.11 della legge 212/2000, in cui ha chiesto di </w:t>
      </w:r>
      <w:r w:rsidR="0067696A" w:rsidRPr="00106036">
        <w:rPr>
          <w:rFonts w:ascii="Arial" w:hAnsi="Arial" w:cs="Arial"/>
          <w:sz w:val="20"/>
          <w:szCs w:val="20"/>
        </w:rPr>
        <w:t>conoscere il</w:t>
      </w:r>
      <w:r w:rsidRPr="00106036">
        <w:rPr>
          <w:rFonts w:ascii="Arial" w:hAnsi="Arial" w:cs="Arial"/>
          <w:sz w:val="20"/>
          <w:szCs w:val="20"/>
        </w:rPr>
        <w:t xml:space="preserve"> trattamento tributario ai fini IVA dei contributi comunali e regionali e il trattamento delle fatture ricevute dall’ANM a titolo di corrispettivi TPL.</w:t>
      </w:r>
    </w:p>
    <w:p w14:paraId="1A14BC56" w14:textId="66056CFC" w:rsidR="0036363E" w:rsidRPr="00106036" w:rsidRDefault="00AA6FC7" w:rsidP="00CE6109">
      <w:pPr>
        <w:pStyle w:val="Premesse"/>
        <w:numPr>
          <w:ilvl w:val="0"/>
          <w:numId w:val="0"/>
        </w:numPr>
        <w:rPr>
          <w:rFonts w:ascii="Arial" w:hAnsi="Arial" w:cs="Arial"/>
        </w:rPr>
      </w:pPr>
      <w:r w:rsidRPr="00106036">
        <w:rPr>
          <w:rFonts w:ascii="Arial" w:hAnsi="Arial" w:cs="Arial"/>
          <w:sz w:val="20"/>
          <w:szCs w:val="20"/>
        </w:rPr>
        <w:t xml:space="preserve">A settembre 2016 la Direzione Centrale Normativa ha fornito la sua interpretazione considerando i contributi erogati per la gestione del TPL da sottoporre a Iva e ad split payment. </w:t>
      </w:r>
    </w:p>
    <w:p w14:paraId="2889FB25" w14:textId="77777777" w:rsidR="00AA6FC7" w:rsidRPr="00106036" w:rsidRDefault="00AA6FC7" w:rsidP="001223E5">
      <w:pPr>
        <w:pStyle w:val="Premesse"/>
        <w:numPr>
          <w:ilvl w:val="0"/>
          <w:numId w:val="0"/>
        </w:numPr>
        <w:rPr>
          <w:rFonts w:ascii="Arial" w:hAnsi="Arial" w:cs="Arial"/>
          <w:sz w:val="20"/>
          <w:szCs w:val="20"/>
        </w:rPr>
      </w:pPr>
      <w:r w:rsidRPr="00106036">
        <w:rPr>
          <w:rFonts w:ascii="Arial" w:hAnsi="Arial" w:cs="Arial"/>
          <w:sz w:val="20"/>
          <w:szCs w:val="20"/>
        </w:rPr>
        <w:t>La risposta dell’Agenzia delle Entrate non ha permesso, pertanto l’attuazione delle ipotesi di recupero di somme a titolo di corrispettivi, con la conseguente riduzione dei corrispettivi da contratto di servizio con il Comune di Napoli nel 2015 di Euro/milioni 24 rispetto all’esercizio precedente e di Euro/milioni 27 rispetto al Piano Industriale 2015-2017 con impatto negativo anche sulle previsioni di cash-flow della Controllata.</w:t>
      </w:r>
    </w:p>
    <w:p w14:paraId="5074945B" w14:textId="77777777" w:rsidR="00AA6FC7" w:rsidRPr="00106036" w:rsidRDefault="00AA6FC7" w:rsidP="001223E5">
      <w:pPr>
        <w:pStyle w:val="Premesse"/>
        <w:numPr>
          <w:ilvl w:val="0"/>
          <w:numId w:val="0"/>
        </w:numPr>
        <w:rPr>
          <w:rFonts w:ascii="Arial" w:hAnsi="Arial" w:cs="Arial"/>
          <w:sz w:val="20"/>
          <w:szCs w:val="20"/>
        </w:rPr>
      </w:pPr>
      <w:r w:rsidRPr="00106036">
        <w:rPr>
          <w:rFonts w:ascii="Arial" w:hAnsi="Arial" w:cs="Arial"/>
          <w:sz w:val="20"/>
          <w:szCs w:val="20"/>
        </w:rPr>
        <w:t xml:space="preserve">La redazione </w:t>
      </w:r>
      <w:r w:rsidR="00C400DB" w:rsidRPr="00106036">
        <w:rPr>
          <w:rFonts w:ascii="Arial" w:hAnsi="Arial" w:cs="Arial"/>
          <w:sz w:val="20"/>
          <w:szCs w:val="20"/>
        </w:rPr>
        <w:t>del piano</w:t>
      </w:r>
      <w:r w:rsidRPr="00106036">
        <w:rPr>
          <w:rFonts w:ascii="Arial" w:hAnsi="Arial" w:cs="Arial"/>
          <w:sz w:val="20"/>
          <w:szCs w:val="20"/>
        </w:rPr>
        <w:t xml:space="preserve"> strategico di risanamento stabile e di rilancio 2017-2019 ha permesso la redazione da parte della Controllata del bilancio 2015 in continuità.</w:t>
      </w:r>
    </w:p>
    <w:p w14:paraId="236C3FB3" w14:textId="77777777" w:rsidR="00AA6FC7" w:rsidRPr="00106036" w:rsidRDefault="00AA6FC7" w:rsidP="001223E5">
      <w:pPr>
        <w:pStyle w:val="Premesse"/>
        <w:numPr>
          <w:ilvl w:val="0"/>
          <w:numId w:val="0"/>
        </w:numPr>
        <w:rPr>
          <w:rFonts w:ascii="Arial" w:hAnsi="Arial" w:cs="Arial"/>
          <w:sz w:val="20"/>
          <w:szCs w:val="20"/>
        </w:rPr>
      </w:pPr>
      <w:r w:rsidRPr="00106036">
        <w:rPr>
          <w:rFonts w:ascii="Arial" w:hAnsi="Arial" w:cs="Arial"/>
          <w:sz w:val="20"/>
          <w:szCs w:val="20"/>
        </w:rPr>
        <w:t xml:space="preserve">Tale piano </w:t>
      </w:r>
      <w:r w:rsidR="00C400DB" w:rsidRPr="00106036">
        <w:rPr>
          <w:rFonts w:ascii="Arial" w:hAnsi="Arial" w:cs="Arial"/>
          <w:sz w:val="20"/>
          <w:szCs w:val="20"/>
        </w:rPr>
        <w:t>contiene una</w:t>
      </w:r>
      <w:r w:rsidRPr="00106036">
        <w:rPr>
          <w:rFonts w:ascii="Arial" w:hAnsi="Arial" w:cs="Arial"/>
          <w:sz w:val="20"/>
          <w:szCs w:val="20"/>
        </w:rPr>
        <w:t xml:space="preserve"> serie di assunzioni volte allo stabile risanamento che sono </w:t>
      </w:r>
      <w:r w:rsidR="00C400DB" w:rsidRPr="00106036">
        <w:rPr>
          <w:rFonts w:ascii="Arial" w:hAnsi="Arial" w:cs="Arial"/>
          <w:sz w:val="20"/>
          <w:szCs w:val="20"/>
        </w:rPr>
        <w:t>state approvate</w:t>
      </w:r>
      <w:r w:rsidRPr="00106036">
        <w:rPr>
          <w:rFonts w:ascii="Arial" w:hAnsi="Arial" w:cs="Arial"/>
          <w:sz w:val="20"/>
          <w:szCs w:val="20"/>
        </w:rPr>
        <w:t xml:space="preserve"> dalla Giunta Comunale con propria delibera 132 del 15/03/2017 e successivamente dal Consiglio Comunale con delibera n. 23 del 31/03/2017. </w:t>
      </w:r>
    </w:p>
    <w:p w14:paraId="0AD48B4D" w14:textId="77777777" w:rsidR="00AA6FC7" w:rsidRPr="00106036" w:rsidRDefault="00AA6FC7" w:rsidP="001223E5">
      <w:pPr>
        <w:pStyle w:val="Premesse"/>
        <w:numPr>
          <w:ilvl w:val="0"/>
          <w:numId w:val="0"/>
        </w:numPr>
        <w:rPr>
          <w:rFonts w:ascii="Arial" w:hAnsi="Arial" w:cs="Arial"/>
          <w:sz w:val="20"/>
          <w:szCs w:val="20"/>
        </w:rPr>
      </w:pPr>
      <w:r w:rsidRPr="00106036">
        <w:rPr>
          <w:rFonts w:ascii="Arial" w:hAnsi="Arial" w:cs="Arial"/>
          <w:sz w:val="20"/>
          <w:szCs w:val="20"/>
        </w:rPr>
        <w:lastRenderedPageBreak/>
        <w:t>Tra le assunzioni si evidenziano principalmente:</w:t>
      </w:r>
    </w:p>
    <w:p w14:paraId="16F0B136" w14:textId="77777777" w:rsidR="00AA6FC7" w:rsidRPr="00106036" w:rsidRDefault="00AA6FC7" w:rsidP="009435F3">
      <w:pPr>
        <w:pStyle w:val="Premesse"/>
        <w:numPr>
          <w:ilvl w:val="0"/>
          <w:numId w:val="6"/>
        </w:numPr>
        <w:ind w:left="567"/>
        <w:textAlignment w:val="auto"/>
        <w:rPr>
          <w:rFonts w:ascii="Arial" w:hAnsi="Arial" w:cs="Arial"/>
          <w:sz w:val="20"/>
          <w:szCs w:val="20"/>
        </w:rPr>
      </w:pPr>
      <w:r w:rsidRPr="00106036">
        <w:rPr>
          <w:rFonts w:ascii="Arial" w:hAnsi="Arial" w:cs="Arial"/>
          <w:sz w:val="20"/>
          <w:szCs w:val="20"/>
        </w:rPr>
        <w:t xml:space="preserve">  azioni di efficientamento e contenimento dei costi del personale e di altri costi operativi;</w:t>
      </w:r>
    </w:p>
    <w:p w14:paraId="2ACB2CDA" w14:textId="5836E864" w:rsidR="00AA6FC7" w:rsidRPr="00106036" w:rsidRDefault="00AA6FC7" w:rsidP="009435F3">
      <w:pPr>
        <w:pStyle w:val="Premesse"/>
        <w:numPr>
          <w:ilvl w:val="0"/>
          <w:numId w:val="6"/>
        </w:numPr>
        <w:ind w:left="567"/>
        <w:textAlignment w:val="auto"/>
        <w:rPr>
          <w:rFonts w:ascii="Arial" w:hAnsi="Arial" w:cs="Arial"/>
          <w:sz w:val="20"/>
          <w:szCs w:val="20"/>
        </w:rPr>
      </w:pPr>
      <w:r w:rsidRPr="00106036">
        <w:rPr>
          <w:rFonts w:ascii="Arial" w:hAnsi="Arial" w:cs="Arial"/>
          <w:sz w:val="20"/>
          <w:szCs w:val="20"/>
        </w:rPr>
        <w:t xml:space="preserve">ottimizzazione dei ricavi a mezzo della riduzione dell’evasione tariffaria sulla </w:t>
      </w:r>
      <w:r w:rsidR="00C400DB" w:rsidRPr="00106036">
        <w:rPr>
          <w:rFonts w:ascii="Arial" w:hAnsi="Arial" w:cs="Arial"/>
          <w:sz w:val="20"/>
          <w:szCs w:val="20"/>
        </w:rPr>
        <w:t>sosta e</w:t>
      </w:r>
      <w:r w:rsidRPr="00106036">
        <w:rPr>
          <w:rFonts w:ascii="Arial" w:hAnsi="Arial" w:cs="Arial"/>
          <w:sz w:val="20"/>
          <w:szCs w:val="20"/>
        </w:rPr>
        <w:t xml:space="preserve"> sul </w:t>
      </w:r>
      <w:r w:rsidR="00D65236" w:rsidRPr="00106036">
        <w:rPr>
          <w:rFonts w:ascii="Arial" w:hAnsi="Arial" w:cs="Arial"/>
          <w:sz w:val="20"/>
          <w:szCs w:val="20"/>
        </w:rPr>
        <w:t>TPL;</w:t>
      </w:r>
    </w:p>
    <w:p w14:paraId="4F845E91" w14:textId="77777777" w:rsidR="00AA6FC7" w:rsidRPr="00106036" w:rsidRDefault="00AA6FC7" w:rsidP="009435F3">
      <w:pPr>
        <w:pStyle w:val="Premesse"/>
        <w:numPr>
          <w:ilvl w:val="0"/>
          <w:numId w:val="6"/>
        </w:numPr>
        <w:ind w:left="567"/>
        <w:textAlignment w:val="auto"/>
        <w:rPr>
          <w:rFonts w:ascii="Arial" w:hAnsi="Arial" w:cs="Arial"/>
          <w:sz w:val="20"/>
          <w:szCs w:val="20"/>
        </w:rPr>
      </w:pPr>
      <w:r w:rsidRPr="00106036">
        <w:rPr>
          <w:rFonts w:ascii="Arial" w:hAnsi="Arial" w:cs="Arial"/>
          <w:sz w:val="20"/>
          <w:szCs w:val="20"/>
        </w:rPr>
        <w:t xml:space="preserve">   aumento delle tariffe della sosta e del TPL, a sostegno delle misure di risanamento;</w:t>
      </w:r>
    </w:p>
    <w:p w14:paraId="242CC36F" w14:textId="77777777" w:rsidR="00AA6FC7" w:rsidRPr="00106036" w:rsidRDefault="00AA6FC7" w:rsidP="009435F3">
      <w:pPr>
        <w:pStyle w:val="Premesse"/>
        <w:numPr>
          <w:ilvl w:val="0"/>
          <w:numId w:val="6"/>
        </w:numPr>
        <w:ind w:left="567"/>
        <w:textAlignment w:val="auto"/>
        <w:rPr>
          <w:rFonts w:ascii="Arial" w:hAnsi="Arial" w:cs="Arial"/>
          <w:sz w:val="20"/>
          <w:szCs w:val="20"/>
        </w:rPr>
      </w:pPr>
      <w:r w:rsidRPr="00106036">
        <w:rPr>
          <w:rFonts w:ascii="Arial" w:hAnsi="Arial" w:cs="Arial"/>
          <w:sz w:val="20"/>
          <w:szCs w:val="20"/>
        </w:rPr>
        <w:t xml:space="preserve">   rimodulazione dei programmi di esercizio;</w:t>
      </w:r>
    </w:p>
    <w:p w14:paraId="64523C3C" w14:textId="77777777" w:rsidR="00AA6FC7" w:rsidRPr="00106036" w:rsidRDefault="00AA6FC7" w:rsidP="009435F3">
      <w:pPr>
        <w:pStyle w:val="Premesse"/>
        <w:numPr>
          <w:ilvl w:val="0"/>
          <w:numId w:val="6"/>
        </w:numPr>
        <w:ind w:left="567"/>
        <w:textAlignment w:val="auto"/>
        <w:rPr>
          <w:rFonts w:ascii="Arial" w:hAnsi="Arial" w:cs="Arial"/>
          <w:sz w:val="20"/>
          <w:szCs w:val="20"/>
        </w:rPr>
      </w:pPr>
      <w:r w:rsidRPr="00106036">
        <w:rPr>
          <w:rFonts w:ascii="Arial" w:hAnsi="Arial" w:cs="Arial"/>
          <w:sz w:val="20"/>
          <w:szCs w:val="20"/>
        </w:rPr>
        <w:t xml:space="preserve">   razionalizzazione dei processi e dismissione delle attività in perdita;</w:t>
      </w:r>
    </w:p>
    <w:p w14:paraId="41DDAB81" w14:textId="77777777" w:rsidR="00AA6FC7" w:rsidRPr="00106036" w:rsidRDefault="00AA6FC7" w:rsidP="009435F3">
      <w:pPr>
        <w:pStyle w:val="Premesse"/>
        <w:numPr>
          <w:ilvl w:val="0"/>
          <w:numId w:val="6"/>
        </w:numPr>
        <w:ind w:left="567"/>
        <w:textAlignment w:val="auto"/>
        <w:rPr>
          <w:rFonts w:ascii="Arial" w:hAnsi="Arial" w:cs="Arial"/>
          <w:sz w:val="20"/>
          <w:szCs w:val="20"/>
        </w:rPr>
      </w:pPr>
      <w:r w:rsidRPr="00106036">
        <w:rPr>
          <w:rFonts w:ascii="Arial" w:hAnsi="Arial" w:cs="Arial"/>
          <w:sz w:val="20"/>
          <w:szCs w:val="20"/>
        </w:rPr>
        <w:t xml:space="preserve">   cessione ramo operativo segnaletica e dismissione del servizio suburbano su gomma;</w:t>
      </w:r>
    </w:p>
    <w:p w14:paraId="7009484E" w14:textId="77777777" w:rsidR="00AA6FC7" w:rsidRPr="00106036" w:rsidRDefault="00AA6FC7" w:rsidP="009435F3">
      <w:pPr>
        <w:pStyle w:val="Premesse"/>
        <w:numPr>
          <w:ilvl w:val="0"/>
          <w:numId w:val="6"/>
        </w:numPr>
        <w:ind w:left="567"/>
        <w:textAlignment w:val="auto"/>
        <w:rPr>
          <w:rFonts w:ascii="Arial" w:hAnsi="Arial" w:cs="Arial"/>
          <w:sz w:val="20"/>
          <w:szCs w:val="20"/>
        </w:rPr>
      </w:pPr>
      <w:r w:rsidRPr="00106036">
        <w:rPr>
          <w:rFonts w:ascii="Arial" w:hAnsi="Arial" w:cs="Arial"/>
          <w:sz w:val="20"/>
          <w:szCs w:val="20"/>
        </w:rPr>
        <w:t xml:space="preserve">   aumento di capitale fino a </w:t>
      </w:r>
      <w:r w:rsidR="00234564" w:rsidRPr="00106036">
        <w:rPr>
          <w:rFonts w:ascii="Arial" w:hAnsi="Arial" w:cs="Arial"/>
          <w:sz w:val="20"/>
          <w:szCs w:val="20"/>
        </w:rPr>
        <w:t>euro</w:t>
      </w:r>
      <w:r w:rsidRPr="00106036">
        <w:rPr>
          <w:rFonts w:ascii="Arial" w:hAnsi="Arial" w:cs="Arial"/>
          <w:sz w:val="20"/>
          <w:szCs w:val="20"/>
        </w:rPr>
        <w:t xml:space="preserve"> 65 mln di euro a mezzo conferimento di immobili di proprietà del Comune di Napoli, per il valore che sarà definitivamente accertato da una perizia di stima redatta ai sensi e per gli effetti dell’art.2343 ter lett. b) del Codice Civile;</w:t>
      </w:r>
    </w:p>
    <w:p w14:paraId="2F27CD60" w14:textId="77777777" w:rsidR="00AA6FC7" w:rsidRPr="00106036" w:rsidRDefault="00AA6FC7" w:rsidP="009435F3">
      <w:pPr>
        <w:pStyle w:val="Premesse"/>
        <w:numPr>
          <w:ilvl w:val="0"/>
          <w:numId w:val="6"/>
        </w:numPr>
        <w:ind w:left="567"/>
        <w:textAlignment w:val="auto"/>
        <w:rPr>
          <w:rFonts w:ascii="Arial" w:hAnsi="Arial" w:cs="Arial"/>
          <w:sz w:val="20"/>
          <w:szCs w:val="20"/>
        </w:rPr>
      </w:pPr>
      <w:r w:rsidRPr="00106036">
        <w:rPr>
          <w:rFonts w:ascii="Arial" w:hAnsi="Arial" w:cs="Arial"/>
          <w:sz w:val="20"/>
          <w:szCs w:val="20"/>
        </w:rPr>
        <w:t xml:space="preserve">   garanzia dei flussi finanziari con pagamento degli arretrati nel 2017 e pagamenti trimestrali dei correnti garantendo almeno un flusso di </w:t>
      </w:r>
      <w:r w:rsidR="00234564" w:rsidRPr="00106036">
        <w:rPr>
          <w:rFonts w:ascii="Arial" w:hAnsi="Arial" w:cs="Arial"/>
          <w:sz w:val="20"/>
          <w:szCs w:val="20"/>
        </w:rPr>
        <w:t>euro</w:t>
      </w:r>
      <w:r w:rsidRPr="00106036">
        <w:rPr>
          <w:rFonts w:ascii="Arial" w:hAnsi="Arial" w:cs="Arial"/>
          <w:sz w:val="20"/>
          <w:szCs w:val="20"/>
        </w:rPr>
        <w:t xml:space="preserve"> 100 mln nell’anno 2017;</w:t>
      </w:r>
    </w:p>
    <w:p w14:paraId="24FEAB3A" w14:textId="77777777" w:rsidR="00AA6FC7" w:rsidRPr="00106036" w:rsidRDefault="00AA6FC7" w:rsidP="009435F3">
      <w:pPr>
        <w:pStyle w:val="Premesse"/>
        <w:numPr>
          <w:ilvl w:val="0"/>
          <w:numId w:val="6"/>
        </w:numPr>
        <w:ind w:left="567"/>
        <w:textAlignment w:val="auto"/>
        <w:rPr>
          <w:rFonts w:ascii="Arial" w:hAnsi="Arial" w:cs="Arial"/>
          <w:sz w:val="20"/>
          <w:szCs w:val="20"/>
        </w:rPr>
      </w:pPr>
      <w:r w:rsidRPr="00106036">
        <w:rPr>
          <w:rFonts w:ascii="Arial" w:hAnsi="Arial" w:cs="Arial"/>
          <w:sz w:val="20"/>
          <w:szCs w:val="20"/>
        </w:rPr>
        <w:t xml:space="preserve">   mantenimento dello stanziamento comunale delle risorse per il TPL a livello 2015 ossia pari a </w:t>
      </w:r>
      <w:r w:rsidR="00234564" w:rsidRPr="00106036">
        <w:rPr>
          <w:rFonts w:ascii="Arial" w:hAnsi="Arial" w:cs="Arial"/>
          <w:sz w:val="20"/>
          <w:szCs w:val="20"/>
        </w:rPr>
        <w:t>euro</w:t>
      </w:r>
      <w:r w:rsidRPr="00106036">
        <w:rPr>
          <w:rFonts w:ascii="Arial" w:hAnsi="Arial" w:cs="Arial"/>
          <w:sz w:val="20"/>
          <w:szCs w:val="20"/>
        </w:rPr>
        <w:t xml:space="preserve"> 54 mln e stanziamento di risorse aggiuntive per la realizzazione di interventi di manutenzione straordinaria sulle infrastrutture di trasporto di proprietà del Comune di Napoli.</w:t>
      </w:r>
    </w:p>
    <w:p w14:paraId="58FB9142" w14:textId="77777777" w:rsidR="00AA6FC7" w:rsidRPr="00106036" w:rsidRDefault="00AA6FC7" w:rsidP="001223E5">
      <w:pPr>
        <w:pStyle w:val="Premesse"/>
        <w:numPr>
          <w:ilvl w:val="0"/>
          <w:numId w:val="0"/>
        </w:numPr>
        <w:rPr>
          <w:rFonts w:ascii="Arial" w:hAnsi="Arial" w:cs="Arial"/>
          <w:sz w:val="20"/>
          <w:szCs w:val="20"/>
        </w:rPr>
      </w:pPr>
      <w:r w:rsidRPr="00106036">
        <w:rPr>
          <w:rFonts w:ascii="Arial" w:hAnsi="Arial" w:cs="Arial"/>
          <w:sz w:val="20"/>
          <w:szCs w:val="20"/>
        </w:rPr>
        <w:t>In data 18/04/2017 si è tenuta l’Assemblea Ordinaria della Napoli Holding S.r.l, in cui l’Amministrazione Comunale ha confermato gli impegni dell’Amministrazione in merito alle risorse destinate al finanziamento dei servizi di Trasporto Pubblico Locale gestiti da ANM S.p.A, nonché in merito alle risorse stanziate per gli interventi di manutenzione straordinaria.</w:t>
      </w:r>
    </w:p>
    <w:p w14:paraId="46006BDD" w14:textId="77777777" w:rsidR="00AA6FC7" w:rsidRPr="00106036" w:rsidRDefault="00AA6FC7" w:rsidP="001223E5">
      <w:pPr>
        <w:pStyle w:val="Premesse"/>
        <w:numPr>
          <w:ilvl w:val="0"/>
          <w:numId w:val="0"/>
        </w:numPr>
        <w:rPr>
          <w:rFonts w:ascii="Arial" w:hAnsi="Arial" w:cs="Arial"/>
          <w:sz w:val="20"/>
          <w:szCs w:val="20"/>
        </w:rPr>
      </w:pPr>
      <w:r w:rsidRPr="00106036">
        <w:rPr>
          <w:rFonts w:ascii="Arial" w:hAnsi="Arial" w:cs="Arial"/>
          <w:sz w:val="20"/>
          <w:szCs w:val="20"/>
        </w:rPr>
        <w:t xml:space="preserve">In data 26/04/2017 si è tenuta l’Assemblea dell’ANM S.p.A in sede ordinaria per l’ approvazione del bilancio 2015, in condizione di continuità, alla luce del nuovo piano redatto dall‘AU della società e degli impegni assunti dall’Amministrazione Comunale con la delibera di Consiglio n. 23 e confermati dalla stessa nell’Assemblea ordinaria della Holding, mentre in sede straordinaria si è proceduto all’approvazione della situazione economico patrimoniale redatta ai sensi e per gli effetti dell’art. 2446 del Codice civile dall’AU dell’ANM che ha evidenziato ulteriori perdite per circa Euro 32.351 mila e alla riduzione conseguente del capitale sociale a Euro 3.479 mila, procedendo all’azzeramento di tutte le riserve disponibili e al perfezionamento del primo conferimento in natura , a seguito di perizia redatta ai sensi e per gli effetti dell’art. 2343 ter lett. b) del parcheggio denominato Autosilos Brin, valutato dall’esperto indipendente in Euro 9.952 mila. </w:t>
      </w:r>
    </w:p>
    <w:p w14:paraId="1936E3CA" w14:textId="77777777" w:rsidR="00AA6FC7" w:rsidRPr="00106036" w:rsidRDefault="00AA6FC7" w:rsidP="001223E5">
      <w:pPr>
        <w:pStyle w:val="Premesse"/>
        <w:numPr>
          <w:ilvl w:val="0"/>
          <w:numId w:val="0"/>
        </w:numPr>
        <w:rPr>
          <w:rFonts w:ascii="Arial" w:hAnsi="Arial" w:cs="Arial"/>
          <w:sz w:val="20"/>
          <w:szCs w:val="20"/>
        </w:rPr>
      </w:pPr>
      <w:r w:rsidRPr="00106036">
        <w:rPr>
          <w:rFonts w:ascii="Arial" w:hAnsi="Arial" w:cs="Arial"/>
          <w:sz w:val="20"/>
          <w:szCs w:val="20"/>
        </w:rPr>
        <w:t xml:space="preserve">In data 4/08/2017 la Napoli Holding ha proceduto all’azzeramento delle perdite registrate, presentando una situazione ex art 2482 bis al 30/06/2017 riservandosi di riconvocare una nuova Assemblea allorquando la Controllata avesse chiuso il proprio rendiconto 2016 e di conseguenza anche la Napoli Holding avesse </w:t>
      </w:r>
      <w:r w:rsidR="00234564" w:rsidRPr="00106036">
        <w:rPr>
          <w:rFonts w:ascii="Arial" w:hAnsi="Arial" w:cs="Arial"/>
          <w:sz w:val="20"/>
          <w:szCs w:val="20"/>
        </w:rPr>
        <w:t>predisposto il</w:t>
      </w:r>
      <w:r w:rsidRPr="00106036">
        <w:rPr>
          <w:rFonts w:ascii="Arial" w:hAnsi="Arial" w:cs="Arial"/>
          <w:sz w:val="20"/>
          <w:szCs w:val="20"/>
        </w:rPr>
        <w:t xml:space="preserve"> proprio bilancio. </w:t>
      </w:r>
    </w:p>
    <w:p w14:paraId="69CD8270" w14:textId="77777777" w:rsidR="00AA6FC7" w:rsidRPr="00106036" w:rsidRDefault="00AA6FC7" w:rsidP="001223E5">
      <w:pPr>
        <w:pStyle w:val="Premesse"/>
        <w:numPr>
          <w:ilvl w:val="0"/>
          <w:numId w:val="0"/>
        </w:numPr>
        <w:rPr>
          <w:rFonts w:ascii="Arial" w:hAnsi="Arial" w:cs="Arial"/>
          <w:sz w:val="20"/>
          <w:szCs w:val="20"/>
        </w:rPr>
      </w:pPr>
      <w:r w:rsidRPr="00106036">
        <w:rPr>
          <w:rFonts w:ascii="Arial" w:hAnsi="Arial" w:cs="Arial"/>
          <w:sz w:val="20"/>
          <w:szCs w:val="20"/>
        </w:rPr>
        <w:t>Successivamente, però, il venir meno delle assunzioni principali previste nel piano approvato a marzo dal Consigli</w:t>
      </w:r>
      <w:r w:rsidR="00146B7C" w:rsidRPr="00106036">
        <w:rPr>
          <w:rFonts w:ascii="Arial" w:hAnsi="Arial" w:cs="Arial"/>
          <w:sz w:val="20"/>
          <w:szCs w:val="20"/>
        </w:rPr>
        <w:t xml:space="preserve">o Comunale ha comportato per </w:t>
      </w:r>
      <w:r w:rsidRPr="00106036">
        <w:rPr>
          <w:rFonts w:ascii="Arial" w:hAnsi="Arial" w:cs="Arial"/>
          <w:sz w:val="20"/>
          <w:szCs w:val="20"/>
        </w:rPr>
        <w:t>ANM S.p.A. il verificarsi della fattispecie di cui all’art 2447 c.c. e l’impossibilità per l’Amministrazione Comunale di procedere ai conferimenti in ossequio al divieto di soccorso finanziario previsto dalla Legge Madia.</w:t>
      </w:r>
    </w:p>
    <w:p w14:paraId="0C11FC86" w14:textId="4D7E21EA" w:rsidR="00AA6FC7" w:rsidRPr="00106036" w:rsidRDefault="00AA6FC7" w:rsidP="001223E5">
      <w:pPr>
        <w:pStyle w:val="Premesse"/>
        <w:numPr>
          <w:ilvl w:val="0"/>
          <w:numId w:val="0"/>
        </w:numPr>
        <w:rPr>
          <w:rFonts w:ascii="Arial" w:hAnsi="Arial" w:cs="Arial"/>
          <w:sz w:val="20"/>
          <w:szCs w:val="20"/>
        </w:rPr>
      </w:pPr>
      <w:r w:rsidRPr="00106036">
        <w:rPr>
          <w:rFonts w:ascii="Arial" w:hAnsi="Arial" w:cs="Arial"/>
          <w:sz w:val="20"/>
          <w:szCs w:val="20"/>
        </w:rPr>
        <w:t xml:space="preserve">La fattispecie dell’art 2447 ed i rilevanti debiti accumulati </w:t>
      </w:r>
      <w:r w:rsidR="00234564" w:rsidRPr="00106036">
        <w:rPr>
          <w:rFonts w:ascii="Arial" w:hAnsi="Arial" w:cs="Arial"/>
          <w:sz w:val="20"/>
          <w:szCs w:val="20"/>
        </w:rPr>
        <w:t>dall’ANM con</w:t>
      </w:r>
      <w:r w:rsidRPr="00106036">
        <w:rPr>
          <w:rFonts w:ascii="Arial" w:hAnsi="Arial" w:cs="Arial"/>
          <w:sz w:val="20"/>
          <w:szCs w:val="20"/>
        </w:rPr>
        <w:t xml:space="preserve"> il </w:t>
      </w:r>
      <w:r w:rsidR="00D65236" w:rsidRPr="00106036">
        <w:rPr>
          <w:rFonts w:ascii="Arial" w:hAnsi="Arial" w:cs="Arial"/>
          <w:sz w:val="20"/>
          <w:szCs w:val="20"/>
        </w:rPr>
        <w:t>conseguente rischio</w:t>
      </w:r>
      <w:r w:rsidRPr="00106036">
        <w:rPr>
          <w:rFonts w:ascii="Arial" w:hAnsi="Arial" w:cs="Arial"/>
          <w:sz w:val="20"/>
          <w:szCs w:val="20"/>
        </w:rPr>
        <w:t xml:space="preserve"> di azioni esecutive da parte dei creditori ha portato l’Amministrazione Comunale ad inoltrare tramite la Napoli Holding proprio atto di indirizzo volto alla presentazione della domanda di preconcordato “in bianco”.</w:t>
      </w:r>
    </w:p>
    <w:p w14:paraId="1AD5FD30" w14:textId="1D0B911E" w:rsidR="00AA6FC7" w:rsidRPr="00106036" w:rsidRDefault="00EC7C75" w:rsidP="00CE6109">
      <w:pPr>
        <w:pStyle w:val="Corpotesto"/>
        <w:spacing w:after="120"/>
        <w:contextualSpacing/>
      </w:pPr>
      <w:r w:rsidRPr="00EC7C75">
        <w:rPr>
          <w:rFonts w:ascii="Arial" w:hAnsi="Arial" w:cs="Arial"/>
          <w:sz w:val="20"/>
        </w:rPr>
        <w:t>Tenuto pertanto conto della situazione di grave crisi in cui versava,</w:t>
      </w:r>
      <w:r>
        <w:rPr>
          <w:rFonts w:ascii="Arial" w:hAnsi="Arial" w:cs="Arial"/>
          <w:sz w:val="20"/>
        </w:rPr>
        <w:t xml:space="preserve"> i</w:t>
      </w:r>
      <w:r w:rsidR="00AA6FC7" w:rsidRPr="00106036">
        <w:rPr>
          <w:rFonts w:ascii="Arial" w:hAnsi="Arial" w:cs="Arial"/>
          <w:sz w:val="20"/>
        </w:rPr>
        <w:t xml:space="preserve">n data 22 dicembre 2017 la </w:t>
      </w:r>
      <w:r>
        <w:rPr>
          <w:rFonts w:ascii="Arial" w:hAnsi="Arial" w:cs="Arial"/>
          <w:sz w:val="20"/>
        </w:rPr>
        <w:t xml:space="preserve">società controllata </w:t>
      </w:r>
      <w:r w:rsidR="00AA6FC7" w:rsidRPr="00106036">
        <w:rPr>
          <w:rFonts w:ascii="Arial" w:hAnsi="Arial" w:cs="Arial"/>
          <w:sz w:val="20"/>
        </w:rPr>
        <w:t>ANM S</w:t>
      </w:r>
      <w:r>
        <w:rPr>
          <w:rFonts w:ascii="Arial" w:hAnsi="Arial" w:cs="Arial"/>
          <w:sz w:val="20"/>
        </w:rPr>
        <w:t>.</w:t>
      </w:r>
      <w:r w:rsidR="00AA6FC7" w:rsidRPr="00106036">
        <w:rPr>
          <w:rFonts w:ascii="Arial" w:hAnsi="Arial" w:cs="Arial"/>
          <w:sz w:val="20"/>
        </w:rPr>
        <w:t>p</w:t>
      </w:r>
      <w:r>
        <w:rPr>
          <w:rFonts w:ascii="Arial" w:hAnsi="Arial" w:cs="Arial"/>
          <w:sz w:val="20"/>
        </w:rPr>
        <w:t>.A.</w:t>
      </w:r>
      <w:r w:rsidR="00AA6FC7" w:rsidRPr="00106036">
        <w:rPr>
          <w:rFonts w:ascii="Arial" w:hAnsi="Arial" w:cs="Arial"/>
          <w:sz w:val="20"/>
        </w:rPr>
        <w:t xml:space="preserve"> ha presentato domanda di concordato preventivo ex art. 161, co. 6, l. fall., con riserva di successivo deposito del piano di concordato preventivo e di tutta la documentazione prevista dalla citata legge fallimentare. La VII sezione del Tribunale di Napoli ha </w:t>
      </w:r>
      <w:r w:rsidR="00AA6FC7" w:rsidRPr="00106036">
        <w:rPr>
          <w:rFonts w:ascii="Arial" w:hAnsi="Arial" w:cs="Arial"/>
          <w:sz w:val="20"/>
        </w:rPr>
        <w:lastRenderedPageBreak/>
        <w:t xml:space="preserve">accolto la domanda in data 4 gennaio 2018, assegnando successivamente alla </w:t>
      </w:r>
      <w:r>
        <w:rPr>
          <w:rFonts w:ascii="Arial" w:hAnsi="Arial" w:cs="Arial"/>
          <w:sz w:val="20"/>
        </w:rPr>
        <w:t>s</w:t>
      </w:r>
      <w:r w:rsidR="00AA6FC7" w:rsidRPr="00106036">
        <w:rPr>
          <w:rFonts w:ascii="Arial" w:hAnsi="Arial" w:cs="Arial"/>
          <w:sz w:val="20"/>
        </w:rPr>
        <w:t xml:space="preserve">ocietà </w:t>
      </w:r>
      <w:r>
        <w:rPr>
          <w:rFonts w:ascii="Arial" w:hAnsi="Arial" w:cs="Arial"/>
          <w:sz w:val="20"/>
        </w:rPr>
        <w:t xml:space="preserve">controllata </w:t>
      </w:r>
      <w:r w:rsidR="00AA6FC7" w:rsidRPr="00106036">
        <w:rPr>
          <w:rFonts w:ascii="Arial" w:hAnsi="Arial" w:cs="Arial"/>
          <w:sz w:val="20"/>
        </w:rPr>
        <w:t xml:space="preserve">il termine di 120 giorni per la presentazione della domanda completa della proposta, del piano e della documentazione di cui ai commi secondo e terzo dell’art. 161 l. fall., definendo anche gli obblighi informativi periodici per l’azienda, tra cui l’aggiornamento periodico della situazione patrimoniale. </w:t>
      </w:r>
      <w:r w:rsidRPr="00EC7C75">
        <w:rPr>
          <w:rFonts w:ascii="Arial" w:hAnsi="Arial" w:cs="Arial"/>
          <w:sz w:val="20"/>
        </w:rPr>
        <w:t>A seguito dell’accoglimento da parte del Tribunale di Napoli di tale istanza, in data 3 luglio 2018 la società controllata ha depositato il ricorso per l’ammissione a tale procedura concorsuale, corredato del relativo piano concordatario. In data 5 dicembre 2018, lo stesso Tribunale di Napoli, con proprio decreto, ha dichiarato aperta la procedura di concordato preventivo ex art. 161, comma 6, L.F, ed infine, con Decreto del 13 novembre 2019, depositato presso la cancelleria in data 9 dicembre 2019, tenuto conto del voto favorevole dei creditori, ha omologato il citato concordato preventivo.</w:t>
      </w:r>
    </w:p>
    <w:p w14:paraId="1E5EC8D2" w14:textId="77777777" w:rsidR="00AA6FC7" w:rsidRPr="00106036" w:rsidRDefault="00AA6FC7" w:rsidP="001223E5">
      <w:pPr>
        <w:pStyle w:val="Premesse"/>
        <w:numPr>
          <w:ilvl w:val="0"/>
          <w:numId w:val="0"/>
        </w:numPr>
        <w:rPr>
          <w:rFonts w:ascii="Arial" w:hAnsi="Arial" w:cs="Arial"/>
          <w:sz w:val="20"/>
          <w:szCs w:val="20"/>
        </w:rPr>
      </w:pPr>
      <w:r w:rsidRPr="00106036">
        <w:rPr>
          <w:rFonts w:ascii="Arial" w:hAnsi="Arial" w:cs="Arial"/>
          <w:sz w:val="20"/>
          <w:szCs w:val="20"/>
        </w:rPr>
        <w:t>La veridicità dei dati aziendali e la fattibilità del piano di concordato preventivo, redatto dalla società PricewaterhouseCoopers S.p.A., oltre alla funzionalità dello stesso al miglior soddisfacimento dei creditori, sono state oggetto di attestazione nella relazione ex art. 161, comma terzo, l. fall., predisposta dal dr. Maurizio Corciulo il professionista incaricato, in possesso dei requisiti previsti dalla citata legge fallimentare.</w:t>
      </w:r>
    </w:p>
    <w:p w14:paraId="354AE47A" w14:textId="0469C8BE" w:rsidR="00F97B7C" w:rsidRDefault="00F97B7C" w:rsidP="00F97B7C">
      <w:pPr>
        <w:pStyle w:val="Corpotesto"/>
        <w:spacing w:after="120"/>
        <w:contextualSpacing/>
        <w:rPr>
          <w:rFonts w:ascii="Arial" w:eastAsia="Andale Sans UI" w:hAnsi="Arial" w:cs="Arial"/>
          <w:snapToGrid/>
          <w:kern w:val="3"/>
          <w:sz w:val="20"/>
          <w:lang w:eastAsia="ja-JP" w:bidi="fa-IR"/>
        </w:rPr>
      </w:pPr>
      <w:r w:rsidRPr="00106036">
        <w:rPr>
          <w:rFonts w:ascii="Arial" w:eastAsia="Andale Sans UI" w:hAnsi="Arial" w:cs="Arial"/>
          <w:snapToGrid/>
          <w:kern w:val="3"/>
          <w:sz w:val="20"/>
          <w:lang w:eastAsia="ja-JP" w:bidi="fa-IR"/>
        </w:rPr>
        <w:t xml:space="preserve">Il piano concordatario </w:t>
      </w:r>
      <w:r w:rsidR="00EC7C75">
        <w:rPr>
          <w:rFonts w:ascii="Arial" w:eastAsia="Andale Sans UI" w:hAnsi="Arial" w:cs="Arial"/>
          <w:snapToGrid/>
          <w:kern w:val="3"/>
          <w:sz w:val="20"/>
          <w:lang w:eastAsia="ja-JP" w:bidi="fa-IR"/>
        </w:rPr>
        <w:t>presentato dalla</w:t>
      </w:r>
      <w:r w:rsidR="00EC7C75" w:rsidRPr="00106036">
        <w:rPr>
          <w:rFonts w:ascii="Arial" w:eastAsia="Andale Sans UI" w:hAnsi="Arial" w:cs="Arial"/>
          <w:snapToGrid/>
          <w:kern w:val="3"/>
          <w:sz w:val="20"/>
          <w:lang w:eastAsia="ja-JP" w:bidi="fa-IR"/>
        </w:rPr>
        <w:t xml:space="preserve"> </w:t>
      </w:r>
      <w:r w:rsidR="00EC7C75">
        <w:rPr>
          <w:rFonts w:ascii="Arial" w:eastAsia="Andale Sans UI" w:hAnsi="Arial" w:cs="Arial"/>
          <w:snapToGrid/>
          <w:kern w:val="3"/>
          <w:sz w:val="20"/>
          <w:lang w:eastAsia="ja-JP" w:bidi="fa-IR"/>
        </w:rPr>
        <w:t>società controllata</w:t>
      </w:r>
      <w:r w:rsidR="00EC7C75" w:rsidRPr="00106036">
        <w:rPr>
          <w:rFonts w:ascii="Arial" w:eastAsia="Andale Sans UI" w:hAnsi="Arial" w:cs="Arial"/>
          <w:snapToGrid/>
          <w:kern w:val="3"/>
          <w:sz w:val="20"/>
          <w:lang w:eastAsia="ja-JP" w:bidi="fa-IR"/>
        </w:rPr>
        <w:t xml:space="preserve"> </w:t>
      </w:r>
      <w:r w:rsidRPr="00106036">
        <w:rPr>
          <w:rFonts w:ascii="Arial" w:eastAsia="Andale Sans UI" w:hAnsi="Arial" w:cs="Arial"/>
          <w:snapToGrid/>
          <w:kern w:val="3"/>
          <w:sz w:val="20"/>
          <w:lang w:eastAsia="ja-JP" w:bidi="fa-IR"/>
        </w:rPr>
        <w:t xml:space="preserve">può essere definito di tipo misto, poiché contempera l’ipotesi di continuità diretta con </w:t>
      </w:r>
      <w:r w:rsidR="003E72E9">
        <w:rPr>
          <w:rFonts w:ascii="Arial" w:eastAsia="Andale Sans UI" w:hAnsi="Arial" w:cs="Arial"/>
          <w:snapToGrid/>
          <w:kern w:val="3"/>
          <w:sz w:val="20"/>
          <w:lang w:eastAsia="ja-JP" w:bidi="fa-IR"/>
        </w:rPr>
        <w:t xml:space="preserve">la previsione della </w:t>
      </w:r>
      <w:r w:rsidRPr="00106036">
        <w:rPr>
          <w:rFonts w:ascii="Arial" w:eastAsia="Andale Sans UI" w:hAnsi="Arial" w:cs="Arial"/>
          <w:snapToGrid/>
          <w:kern w:val="3"/>
          <w:sz w:val="20"/>
          <w:lang w:eastAsia="ja-JP" w:bidi="fa-IR"/>
        </w:rPr>
        <w:t>cessione di due immobili non strumentali all’attività aziendale (i.e. immobili siti in Napoli in via Galileo Ferraris 49/49 bis in via Ponte dei Francesi 37/39).</w:t>
      </w:r>
    </w:p>
    <w:p w14:paraId="72DDD369" w14:textId="6946D82B" w:rsidR="003E72E9" w:rsidRPr="003E72E9" w:rsidRDefault="003E72E9" w:rsidP="003E72E9">
      <w:pPr>
        <w:pStyle w:val="Corpotesto"/>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 xml:space="preserve">Il piano concordatario si fonda su alcune linee guida e previsioni essenziali che mirano al raggiungimento di alcuni imprescindibili obiettivi economico-finanziari per consentire, oltre alla migliore soddisfazione dei creditori concordatari, la prosecuzione delle normali attività della </w:t>
      </w:r>
      <w:r w:rsidR="00EC7C75">
        <w:rPr>
          <w:rFonts w:ascii="Arial" w:eastAsia="Andale Sans UI" w:hAnsi="Arial" w:cs="Arial"/>
          <w:snapToGrid/>
          <w:kern w:val="3"/>
          <w:sz w:val="20"/>
          <w:lang w:eastAsia="ja-JP" w:bidi="fa-IR"/>
        </w:rPr>
        <w:t>ANM S.p.A.</w:t>
      </w:r>
      <w:r w:rsidR="00EC7C75" w:rsidRPr="003E72E9">
        <w:rPr>
          <w:rFonts w:ascii="Arial" w:eastAsia="Andale Sans UI" w:hAnsi="Arial" w:cs="Arial"/>
          <w:snapToGrid/>
          <w:kern w:val="3"/>
          <w:sz w:val="20"/>
          <w:lang w:eastAsia="ja-JP" w:bidi="fa-IR"/>
        </w:rPr>
        <w:t xml:space="preserve"> </w:t>
      </w:r>
      <w:r w:rsidRPr="003E72E9">
        <w:rPr>
          <w:rFonts w:ascii="Arial" w:eastAsia="Andale Sans UI" w:hAnsi="Arial" w:cs="Arial"/>
          <w:snapToGrid/>
          <w:kern w:val="3"/>
          <w:sz w:val="20"/>
          <w:lang w:eastAsia="ja-JP" w:bidi="fa-IR"/>
        </w:rPr>
        <w:t>una volta conclusa la procedura di concordato. In particolare:</w:t>
      </w:r>
    </w:p>
    <w:p w14:paraId="17EBBB89" w14:textId="3C07D78B" w:rsidR="003E72E9" w:rsidRPr="003E72E9" w:rsidRDefault="003E72E9" w:rsidP="00CE6109">
      <w:pPr>
        <w:pStyle w:val="Corpotesto"/>
        <w:numPr>
          <w:ilvl w:val="0"/>
          <w:numId w:val="54"/>
        </w:numPr>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gli obiettivi economici si fondano sull’azzeramento della perdita operativa mediante una sostanziale rivisitazione della struttura dei costi aziendali, tale da renderla compatibile con il compl</w:t>
      </w:r>
      <w:r>
        <w:rPr>
          <w:rFonts w:ascii="Arial" w:eastAsia="Andale Sans UI" w:hAnsi="Arial" w:cs="Arial"/>
          <w:snapToGrid/>
          <w:kern w:val="3"/>
          <w:sz w:val="20"/>
          <w:lang w:eastAsia="ja-JP" w:bidi="fa-IR"/>
        </w:rPr>
        <w:t>esso dei ricavi caratteristici;</w:t>
      </w:r>
    </w:p>
    <w:p w14:paraId="498622AD" w14:textId="1977DD75" w:rsidR="003E72E9" w:rsidRPr="003E72E9" w:rsidRDefault="003E72E9" w:rsidP="00CE6109">
      <w:pPr>
        <w:pStyle w:val="Corpotesto"/>
        <w:numPr>
          <w:ilvl w:val="0"/>
          <w:numId w:val="54"/>
        </w:numPr>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gli obiettivi finanziari sono rappresentati dal raggiungimento e ripristino dell’equilibrio finanziario, oltre il quale sarà possibile realizzare dei surplus di cassa sufficienti a garantire la soddisfazione dei creditori secondo la proposta concordataria;</w:t>
      </w:r>
    </w:p>
    <w:p w14:paraId="39ED319F" w14:textId="54CD64FB" w:rsidR="003E72E9" w:rsidRPr="003E72E9" w:rsidRDefault="003E72E9" w:rsidP="00CE6109">
      <w:pPr>
        <w:pStyle w:val="Corpotesto"/>
        <w:numPr>
          <w:ilvl w:val="0"/>
          <w:numId w:val="54"/>
        </w:numPr>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il mantenimento di livelli occupazionali coerenti con un modello di business sostenibile.</w:t>
      </w:r>
    </w:p>
    <w:p w14:paraId="5B957461" w14:textId="77777777" w:rsidR="003E72E9" w:rsidRPr="003E72E9" w:rsidRDefault="003E72E9" w:rsidP="003E72E9">
      <w:pPr>
        <w:pStyle w:val="Corpotesto"/>
        <w:spacing w:after="120"/>
        <w:contextualSpacing/>
        <w:rPr>
          <w:rFonts w:ascii="Arial" w:eastAsia="Andale Sans UI" w:hAnsi="Arial" w:cs="Arial"/>
          <w:snapToGrid/>
          <w:kern w:val="3"/>
          <w:sz w:val="20"/>
          <w:lang w:eastAsia="ja-JP" w:bidi="fa-IR"/>
        </w:rPr>
      </w:pPr>
    </w:p>
    <w:p w14:paraId="0F9EA25B" w14:textId="77777777" w:rsidR="003E72E9" w:rsidRPr="003E72E9" w:rsidRDefault="003E72E9" w:rsidP="003E72E9">
      <w:pPr>
        <w:pStyle w:val="Corpotesto"/>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Per poter raggiungere tali obiettivi e, con particolar riguardo al raggiungimento e mantenimento di una redditività operativa positiva della gestione caratteristica, sono state individuate le seguenti aree di intervento:</w:t>
      </w:r>
    </w:p>
    <w:p w14:paraId="53C72CDD" w14:textId="5D3D7D00" w:rsidR="003E72E9" w:rsidRPr="003E72E9" w:rsidRDefault="003E72E9" w:rsidP="00CE6109">
      <w:pPr>
        <w:pStyle w:val="Corpotesto"/>
        <w:numPr>
          <w:ilvl w:val="0"/>
          <w:numId w:val="51"/>
        </w:numPr>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Nuova organizzazione, revisione della struttura organizzativa e delle conseguenti responsabilità;</w:t>
      </w:r>
    </w:p>
    <w:p w14:paraId="1B10EFC8" w14:textId="2B2CE7C2" w:rsidR="003E72E9" w:rsidRPr="003E72E9" w:rsidRDefault="003E72E9" w:rsidP="00CE6109">
      <w:pPr>
        <w:pStyle w:val="Corpotesto"/>
        <w:numPr>
          <w:ilvl w:val="0"/>
          <w:numId w:val="51"/>
        </w:numPr>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Ridefinizione dell’organico aziendale, contenimento dei costi ed armonizzazione del trattamento del personale;</w:t>
      </w:r>
    </w:p>
    <w:p w14:paraId="73CB88CB" w14:textId="15848E7E" w:rsidR="003E72E9" w:rsidRPr="003E72E9" w:rsidRDefault="003E72E9" w:rsidP="00CE6109">
      <w:pPr>
        <w:pStyle w:val="Corpotesto"/>
        <w:numPr>
          <w:ilvl w:val="0"/>
          <w:numId w:val="51"/>
        </w:numPr>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Ottimizzazione dei ricavi da traffico ed altri;</w:t>
      </w:r>
    </w:p>
    <w:p w14:paraId="624BDC57" w14:textId="195B343E" w:rsidR="003E72E9" w:rsidRPr="003E72E9" w:rsidRDefault="003E72E9" w:rsidP="00CE6109">
      <w:pPr>
        <w:pStyle w:val="Corpotesto"/>
        <w:numPr>
          <w:ilvl w:val="0"/>
          <w:numId w:val="51"/>
        </w:numPr>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Ridefinizione dei processi aziendali con l’obiettivo dell’efficientamento;</w:t>
      </w:r>
    </w:p>
    <w:p w14:paraId="1350D48B" w14:textId="5AEFF867" w:rsidR="003E72E9" w:rsidRPr="003E72E9" w:rsidRDefault="003E72E9" w:rsidP="00CE6109">
      <w:pPr>
        <w:pStyle w:val="Corpotesto"/>
        <w:numPr>
          <w:ilvl w:val="0"/>
          <w:numId w:val="51"/>
        </w:numPr>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Revisione dell’esercizio urbano e suburbano;</w:t>
      </w:r>
    </w:p>
    <w:p w14:paraId="1EF6914B" w14:textId="43196501" w:rsidR="003E72E9" w:rsidRPr="003E72E9" w:rsidRDefault="003E72E9" w:rsidP="00CE6109">
      <w:pPr>
        <w:pStyle w:val="Corpotesto"/>
        <w:numPr>
          <w:ilvl w:val="0"/>
          <w:numId w:val="51"/>
        </w:numPr>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Nuovi investimenti e rinforzi del parco mezzi;</w:t>
      </w:r>
    </w:p>
    <w:p w14:paraId="2F4A3FE5" w14:textId="4044AC2F" w:rsidR="003E72E9" w:rsidRPr="00106036" w:rsidRDefault="003E72E9" w:rsidP="00CE6109">
      <w:pPr>
        <w:pStyle w:val="Corpotesto"/>
        <w:numPr>
          <w:ilvl w:val="0"/>
          <w:numId w:val="51"/>
        </w:numPr>
        <w:spacing w:after="120"/>
        <w:contextualSpacing/>
        <w:rPr>
          <w:rFonts w:ascii="Arial" w:eastAsia="Andale Sans UI" w:hAnsi="Arial" w:cs="Arial"/>
          <w:snapToGrid/>
          <w:kern w:val="3"/>
          <w:sz w:val="20"/>
          <w:lang w:eastAsia="ja-JP" w:bidi="fa-IR"/>
        </w:rPr>
      </w:pPr>
      <w:r w:rsidRPr="003E72E9">
        <w:rPr>
          <w:rFonts w:ascii="Arial" w:eastAsia="Andale Sans UI" w:hAnsi="Arial" w:cs="Arial"/>
          <w:snapToGrid/>
          <w:kern w:val="3"/>
          <w:sz w:val="20"/>
          <w:lang w:eastAsia="ja-JP" w:bidi="fa-IR"/>
        </w:rPr>
        <w:t>Riorganizzazioni logistiche e riduzione dei costi operativi.</w:t>
      </w:r>
    </w:p>
    <w:p w14:paraId="4D613090" w14:textId="77777777" w:rsidR="00EC7C75" w:rsidRDefault="00EC7C75" w:rsidP="00F97B7C">
      <w:pPr>
        <w:pStyle w:val="Corpotesto"/>
        <w:spacing w:after="120"/>
        <w:contextualSpacing/>
        <w:rPr>
          <w:rFonts w:ascii="Arial" w:eastAsia="Andale Sans UI" w:hAnsi="Arial" w:cs="Arial"/>
          <w:snapToGrid/>
          <w:kern w:val="3"/>
          <w:sz w:val="20"/>
          <w:lang w:eastAsia="ja-JP" w:bidi="fa-IR"/>
        </w:rPr>
      </w:pPr>
    </w:p>
    <w:p w14:paraId="152BDB0A" w14:textId="2E88B3A9" w:rsidR="00F97B7C" w:rsidRPr="00106036" w:rsidRDefault="00F97B7C" w:rsidP="00F97B7C">
      <w:pPr>
        <w:pStyle w:val="Corpotesto"/>
        <w:spacing w:after="120"/>
        <w:contextualSpacing/>
        <w:rPr>
          <w:rFonts w:ascii="Arial" w:eastAsia="Andale Sans UI" w:hAnsi="Arial" w:cs="Arial"/>
          <w:snapToGrid/>
          <w:kern w:val="3"/>
          <w:sz w:val="20"/>
          <w:lang w:eastAsia="ja-JP" w:bidi="fa-IR"/>
        </w:rPr>
      </w:pPr>
      <w:r w:rsidRPr="00106036">
        <w:rPr>
          <w:rFonts w:ascii="Arial" w:eastAsia="Andale Sans UI" w:hAnsi="Arial" w:cs="Arial"/>
          <w:snapToGrid/>
          <w:kern w:val="3"/>
          <w:sz w:val="20"/>
          <w:lang w:eastAsia="ja-JP" w:bidi="fa-IR"/>
        </w:rPr>
        <w:t>I flussi finanziari a servizio del passivo concordatario sono stati stimati in euro 135 milioni (di cui euro 25 milioni di cassa iniziale ed euro 110 milioni di flussi di cassa stimati puntualmente nel Piano).</w:t>
      </w:r>
    </w:p>
    <w:p w14:paraId="4E7EC362" w14:textId="77777777" w:rsidR="00F97B7C" w:rsidRPr="00106036" w:rsidRDefault="00F97B7C" w:rsidP="00F97B7C">
      <w:pPr>
        <w:pStyle w:val="Corpotesto"/>
        <w:spacing w:after="120"/>
        <w:contextualSpacing/>
        <w:rPr>
          <w:rFonts w:ascii="Arial" w:eastAsia="Andale Sans UI" w:hAnsi="Arial" w:cs="Arial"/>
          <w:snapToGrid/>
          <w:kern w:val="3"/>
          <w:sz w:val="20"/>
          <w:lang w:eastAsia="ja-JP" w:bidi="fa-IR"/>
        </w:rPr>
      </w:pPr>
      <w:r w:rsidRPr="00106036">
        <w:rPr>
          <w:rFonts w:ascii="Arial" w:eastAsia="Andale Sans UI" w:hAnsi="Arial" w:cs="Arial"/>
          <w:snapToGrid/>
          <w:kern w:val="3"/>
          <w:sz w:val="20"/>
          <w:lang w:eastAsia="ja-JP" w:bidi="fa-IR"/>
        </w:rPr>
        <w:t xml:space="preserve">Il passivo concordatario ammontava a circa euro 180 milioni, di cui euro 2,7 milioni rappresentato da creditori prededucibili, euro 73 milioni da creditori privilegiati e la parte rimanente da creditori chirografari. </w:t>
      </w:r>
    </w:p>
    <w:p w14:paraId="701A5BA4" w14:textId="7AE7E2D3" w:rsidR="00F97B7C" w:rsidRPr="00106036" w:rsidRDefault="00D65236" w:rsidP="00F97B7C">
      <w:pPr>
        <w:pStyle w:val="Corpotesto"/>
        <w:spacing w:after="120"/>
        <w:contextualSpacing/>
        <w:rPr>
          <w:rFonts w:ascii="Arial" w:eastAsia="Andale Sans UI" w:hAnsi="Arial" w:cs="Arial"/>
          <w:snapToGrid/>
          <w:kern w:val="3"/>
          <w:sz w:val="20"/>
          <w:lang w:eastAsia="ja-JP" w:bidi="fa-IR"/>
        </w:rPr>
      </w:pPr>
      <w:r w:rsidRPr="00106036">
        <w:rPr>
          <w:rFonts w:ascii="Arial" w:eastAsia="Andale Sans UI" w:hAnsi="Arial" w:cs="Arial"/>
          <w:snapToGrid/>
          <w:kern w:val="3"/>
          <w:sz w:val="20"/>
          <w:lang w:eastAsia="ja-JP" w:bidi="fa-IR"/>
        </w:rPr>
        <w:t>La proposta concordataria elaborata</w:t>
      </w:r>
      <w:r w:rsidR="00F97B7C" w:rsidRPr="00106036">
        <w:rPr>
          <w:rFonts w:ascii="Arial" w:eastAsia="Andale Sans UI" w:hAnsi="Arial" w:cs="Arial"/>
          <w:snapToGrid/>
          <w:kern w:val="3"/>
          <w:sz w:val="20"/>
          <w:lang w:eastAsia="ja-JP" w:bidi="fa-IR"/>
        </w:rPr>
        <w:t xml:space="preserve"> ha previsto il pagamento integrale dei creditori in prededuzione e di quelli privilegiati. Per i creditori chirografari sono state individuate quattro classi, ad ognuna delle quali è attribuita una diversa percentuale di soddisfazione del credito:</w:t>
      </w:r>
    </w:p>
    <w:p w14:paraId="3E3AA900" w14:textId="77777777" w:rsidR="00F97B7C" w:rsidRPr="00106036" w:rsidRDefault="00F97B7C" w:rsidP="00F97B7C">
      <w:pPr>
        <w:pStyle w:val="Corpotesto"/>
        <w:numPr>
          <w:ilvl w:val="0"/>
          <w:numId w:val="50"/>
        </w:numPr>
        <w:spacing w:after="120"/>
        <w:ind w:hanging="11"/>
        <w:contextualSpacing/>
        <w:rPr>
          <w:rFonts w:ascii="Arial" w:eastAsia="Andale Sans UI" w:hAnsi="Arial" w:cs="Arial"/>
          <w:snapToGrid/>
          <w:kern w:val="3"/>
          <w:sz w:val="20"/>
          <w:lang w:eastAsia="ja-JP" w:bidi="fa-IR"/>
        </w:rPr>
      </w:pPr>
      <w:r w:rsidRPr="00106036">
        <w:rPr>
          <w:rFonts w:ascii="Arial" w:eastAsia="Andale Sans UI" w:hAnsi="Arial" w:cs="Arial"/>
          <w:snapToGrid/>
          <w:kern w:val="3"/>
          <w:sz w:val="20"/>
          <w:lang w:eastAsia="ja-JP" w:bidi="fa-IR"/>
        </w:rPr>
        <w:lastRenderedPageBreak/>
        <w:t>Classe 1 (istituti bancari): 58%;</w:t>
      </w:r>
    </w:p>
    <w:p w14:paraId="6B7239BE" w14:textId="77777777" w:rsidR="00F97B7C" w:rsidRPr="00106036" w:rsidRDefault="00F97B7C" w:rsidP="00F97B7C">
      <w:pPr>
        <w:pStyle w:val="Corpotesto"/>
        <w:numPr>
          <w:ilvl w:val="0"/>
          <w:numId w:val="50"/>
        </w:numPr>
        <w:spacing w:after="120"/>
        <w:ind w:hanging="11"/>
        <w:contextualSpacing/>
        <w:rPr>
          <w:rFonts w:ascii="Arial" w:eastAsia="Andale Sans UI" w:hAnsi="Arial" w:cs="Arial"/>
          <w:snapToGrid/>
          <w:kern w:val="3"/>
          <w:sz w:val="20"/>
          <w:lang w:eastAsia="ja-JP" w:bidi="fa-IR"/>
        </w:rPr>
      </w:pPr>
      <w:r w:rsidRPr="00106036">
        <w:rPr>
          <w:rFonts w:ascii="Arial" w:eastAsia="Andale Sans UI" w:hAnsi="Arial" w:cs="Arial"/>
          <w:snapToGrid/>
          <w:kern w:val="3"/>
          <w:sz w:val="20"/>
          <w:lang w:eastAsia="ja-JP" w:bidi="fa-IR"/>
        </w:rPr>
        <w:t>Classe 2 (debiti commerciali): 62,7%;</w:t>
      </w:r>
    </w:p>
    <w:p w14:paraId="181E1893" w14:textId="77777777" w:rsidR="00F97B7C" w:rsidRPr="00106036" w:rsidRDefault="00F97B7C" w:rsidP="00F97B7C">
      <w:pPr>
        <w:pStyle w:val="Corpotesto"/>
        <w:numPr>
          <w:ilvl w:val="0"/>
          <w:numId w:val="50"/>
        </w:numPr>
        <w:spacing w:after="120"/>
        <w:ind w:hanging="11"/>
        <w:contextualSpacing/>
        <w:rPr>
          <w:rFonts w:ascii="Arial" w:eastAsia="Andale Sans UI" w:hAnsi="Arial" w:cs="Arial"/>
          <w:snapToGrid/>
          <w:kern w:val="3"/>
          <w:sz w:val="20"/>
          <w:lang w:eastAsia="ja-JP" w:bidi="fa-IR"/>
        </w:rPr>
      </w:pPr>
      <w:r w:rsidRPr="00106036">
        <w:rPr>
          <w:rFonts w:ascii="Arial" w:eastAsia="Andale Sans UI" w:hAnsi="Arial" w:cs="Arial"/>
          <w:snapToGrid/>
          <w:kern w:val="3"/>
          <w:sz w:val="20"/>
          <w:lang w:eastAsia="ja-JP" w:bidi="fa-IR"/>
        </w:rPr>
        <w:t>Classe 3 (prestatori di opere e di servizi nell’ambito di contratti di appalto attivati sulle commesse finanziate – oppure cofinanziate – tramite fondi pubblici: 100%;</w:t>
      </w:r>
    </w:p>
    <w:p w14:paraId="55A17E44" w14:textId="77777777" w:rsidR="00F97B7C" w:rsidRPr="00106036" w:rsidRDefault="00F97B7C" w:rsidP="00F97B7C">
      <w:pPr>
        <w:pStyle w:val="Corpotesto"/>
        <w:numPr>
          <w:ilvl w:val="0"/>
          <w:numId w:val="50"/>
        </w:numPr>
        <w:spacing w:after="120"/>
        <w:ind w:hanging="11"/>
        <w:contextualSpacing/>
        <w:rPr>
          <w:rFonts w:ascii="Arial" w:eastAsia="Andale Sans UI" w:hAnsi="Arial" w:cs="Arial"/>
          <w:snapToGrid/>
          <w:kern w:val="3"/>
          <w:sz w:val="20"/>
          <w:lang w:eastAsia="ja-JP" w:bidi="fa-IR"/>
        </w:rPr>
      </w:pPr>
      <w:r w:rsidRPr="00106036">
        <w:rPr>
          <w:rFonts w:ascii="Arial" w:eastAsia="Andale Sans UI" w:hAnsi="Arial" w:cs="Arial"/>
          <w:snapToGrid/>
          <w:kern w:val="3"/>
          <w:sz w:val="20"/>
          <w:lang w:eastAsia="ja-JP" w:bidi="fa-IR"/>
        </w:rPr>
        <w:t xml:space="preserve">Classe 4 (Comune di Napoli e Napoli Holding): crediti di natura chirografaria vantati dal Comune di Napoli e da Napoli Holding S.r.l. per euro 15,2 milioni indicati come “postergati” rispetto a tutti gli altri creditori e il pagamento dei quali può avvenire solo subordinatamente all’eventuale previo pagamento degli altri creditori chirografari nella misura integrale del 100%, “quindi ipotizzando la presenza di eventi migliorativi del soddisfacimento delle percentuali appena illustrate”. </w:t>
      </w:r>
    </w:p>
    <w:p w14:paraId="2F75DFC1" w14:textId="77777777" w:rsidR="00F97B7C" w:rsidRPr="00106036" w:rsidRDefault="00F97B7C" w:rsidP="00F97B7C">
      <w:pPr>
        <w:pStyle w:val="Corpotesto"/>
        <w:spacing w:after="120"/>
        <w:contextualSpacing/>
        <w:rPr>
          <w:rFonts w:ascii="Arial" w:eastAsia="Andale Sans UI" w:hAnsi="Arial" w:cs="Arial"/>
          <w:snapToGrid/>
          <w:kern w:val="3"/>
          <w:sz w:val="20"/>
          <w:lang w:eastAsia="ja-JP" w:bidi="fa-IR"/>
        </w:rPr>
      </w:pPr>
      <w:r w:rsidRPr="00106036">
        <w:rPr>
          <w:rFonts w:ascii="Arial" w:eastAsia="Andale Sans UI" w:hAnsi="Arial" w:cs="Arial"/>
          <w:snapToGrid/>
          <w:kern w:val="3"/>
          <w:sz w:val="20"/>
          <w:lang w:eastAsia="ja-JP" w:bidi="fa-IR"/>
        </w:rPr>
        <w:t>Il Piano prevede la soddisfazione dei creditori nell’arco di un quinquennio a decorrere dall’omologa e specifica che “l’emersione di maggiori flussi finanziari disponibili nel periodo concordatario, determinerà un corrispondete incremento della soddisfazione dei creditori in quanto la liquidità «in surplus» verrà destinata a soddisfare il passivo concordatario”;</w:t>
      </w:r>
    </w:p>
    <w:p w14:paraId="5815BBEA" w14:textId="77777777" w:rsidR="00F97B7C" w:rsidRPr="00106036" w:rsidRDefault="00F97B7C" w:rsidP="00F97B7C">
      <w:pPr>
        <w:jc w:val="both"/>
        <w:rPr>
          <w:rFonts w:ascii="Arial" w:eastAsia="Andale Sans UI" w:hAnsi="Arial" w:cs="Arial"/>
          <w:kern w:val="3"/>
          <w:sz w:val="20"/>
          <w:szCs w:val="20"/>
          <w:lang w:eastAsia="ja-JP" w:bidi="fa-IR"/>
        </w:rPr>
      </w:pPr>
    </w:p>
    <w:p w14:paraId="54D6E0D0" w14:textId="5DDFDDD5" w:rsidR="00F97B7C" w:rsidRDefault="00F97B7C" w:rsidP="00F97B7C">
      <w:pPr>
        <w:jc w:val="both"/>
        <w:rPr>
          <w:rFonts w:ascii="Arial" w:eastAsia="Andale Sans UI" w:hAnsi="Arial" w:cs="Arial"/>
          <w:kern w:val="3"/>
          <w:sz w:val="20"/>
          <w:szCs w:val="20"/>
          <w:lang w:eastAsia="ja-JP" w:bidi="fa-IR"/>
        </w:rPr>
      </w:pPr>
      <w:r w:rsidRPr="00106036">
        <w:rPr>
          <w:rFonts w:ascii="Arial" w:eastAsia="Andale Sans UI" w:hAnsi="Arial" w:cs="Arial"/>
          <w:kern w:val="3"/>
          <w:sz w:val="20"/>
          <w:szCs w:val="20"/>
          <w:lang w:eastAsia="ja-JP" w:bidi="fa-IR"/>
        </w:rPr>
        <w:t xml:space="preserve">Si evidenzia che con delibera 183/20 il Comune di Napoli ha preso atto che ANM continua a svolgere il servizio di trasporto pubblico locale, come previsto dall’art. 1 del contratto in essere tra Napoli Holding e ANM </w:t>
      </w:r>
      <w:r w:rsidR="002A4703">
        <w:rPr>
          <w:rFonts w:ascii="Arial" w:eastAsia="Andale Sans UI" w:hAnsi="Arial" w:cs="Arial"/>
          <w:kern w:val="3"/>
          <w:sz w:val="20"/>
          <w:szCs w:val="20"/>
          <w:lang w:eastAsia="ja-JP" w:bidi="fa-IR"/>
        </w:rPr>
        <w:t>S.p.A.</w:t>
      </w:r>
      <w:r w:rsidR="002A4703" w:rsidRPr="00106036">
        <w:rPr>
          <w:rFonts w:ascii="Arial" w:eastAsia="Andale Sans UI" w:hAnsi="Arial" w:cs="Arial"/>
          <w:kern w:val="3"/>
          <w:sz w:val="20"/>
          <w:szCs w:val="20"/>
          <w:lang w:eastAsia="ja-JP" w:bidi="fa-IR"/>
        </w:rPr>
        <w:t xml:space="preserve"> </w:t>
      </w:r>
      <w:r w:rsidRPr="00106036">
        <w:rPr>
          <w:rFonts w:ascii="Arial" w:eastAsia="Andale Sans UI" w:hAnsi="Arial" w:cs="Arial"/>
          <w:kern w:val="3"/>
          <w:sz w:val="20"/>
          <w:szCs w:val="20"/>
          <w:lang w:eastAsia="ja-JP" w:bidi="fa-IR"/>
        </w:rPr>
        <w:t>anche nel 2020. Tale articolo prevede che, a scadenza del contratto ANM sarà tenuta a garantire il servizio fino a subentro nuovo gestore alle condizioni vigenti nell’ultimo anno di durata contrattuale. Oltre alle disposizioni contrattuali la prosecuzione dell’attività di trasporto pubblico fino al subentro di un nuovo gestore è anche garantita anche dalla normativa europea e nazionale vigente (in particolare la LR 3/2002 e l’art. 5, c. 5 Reg CEE 1370/2007), come evidenziato anche dal parere fornito dal consulente legale dell’azienda.</w:t>
      </w:r>
    </w:p>
    <w:p w14:paraId="527B7F7A" w14:textId="77777777" w:rsidR="00FA68F4" w:rsidRDefault="00FA68F4" w:rsidP="00F97B7C">
      <w:pPr>
        <w:jc w:val="both"/>
        <w:rPr>
          <w:rFonts w:ascii="Arial" w:eastAsia="Andale Sans UI" w:hAnsi="Arial" w:cs="Arial"/>
          <w:kern w:val="3"/>
          <w:sz w:val="20"/>
          <w:szCs w:val="20"/>
          <w:lang w:eastAsia="ja-JP" w:bidi="fa-IR"/>
        </w:rPr>
      </w:pPr>
    </w:p>
    <w:p w14:paraId="66D64515" w14:textId="77777777" w:rsidR="00FA68F4" w:rsidRPr="00CE6109" w:rsidRDefault="00FA68F4" w:rsidP="00CE6109">
      <w:pPr>
        <w:pStyle w:val="Titolo6"/>
        <w:shd w:val="clear" w:color="auto" w:fill="F3F3F3"/>
        <w:rPr>
          <w:rFonts w:ascii="Arial" w:hAnsi="Arial" w:cs="Arial"/>
          <w:sz w:val="20"/>
        </w:rPr>
      </w:pPr>
      <w:r w:rsidRPr="00FA68F4">
        <w:rPr>
          <w:rFonts w:ascii="Arial" w:hAnsi="Arial" w:cs="Arial"/>
          <w:sz w:val="20"/>
        </w:rPr>
        <w:t>Continuità aziendale</w:t>
      </w:r>
    </w:p>
    <w:p w14:paraId="452527B2" w14:textId="77777777" w:rsidR="00FA68F4" w:rsidRPr="00FA68F4" w:rsidRDefault="00FA68F4" w:rsidP="00FA68F4">
      <w:pPr>
        <w:jc w:val="both"/>
        <w:rPr>
          <w:rFonts w:ascii="Arial" w:eastAsia="Andale Sans UI" w:hAnsi="Arial" w:cs="Arial"/>
          <w:kern w:val="3"/>
          <w:sz w:val="20"/>
          <w:szCs w:val="20"/>
          <w:lang w:eastAsia="ja-JP" w:bidi="fa-IR"/>
        </w:rPr>
      </w:pPr>
    </w:p>
    <w:p w14:paraId="56156CCD" w14:textId="3DA1FE07" w:rsidR="00FA68F4" w:rsidRPr="00FA68F4" w:rsidRDefault="003E72E9" w:rsidP="00FA68F4">
      <w:pPr>
        <w:jc w:val="both"/>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I</w:t>
      </w:r>
      <w:r w:rsidR="00FA68F4" w:rsidRPr="00FA68F4">
        <w:rPr>
          <w:rFonts w:ascii="Arial" w:eastAsia="Andale Sans UI" w:hAnsi="Arial" w:cs="Arial"/>
          <w:kern w:val="3"/>
          <w:sz w:val="20"/>
          <w:szCs w:val="20"/>
          <w:lang w:eastAsia="ja-JP" w:bidi="fa-IR"/>
        </w:rPr>
        <w:t>l contesto in cui operano oggi le aziende del trasporto pubblico locale continua ad essere caratterizzato da rilevanti complessità, generate sia dalle reiterate restrizioni alle risorse pubbliche destinate al settore sia dalla mancanza di nuovi investimenti finalizzati in particolar modo all’acquisizione di nuovo parco rotabile ed alla realizzazione di nuove infrastrutture.</w:t>
      </w:r>
    </w:p>
    <w:p w14:paraId="0EFBD50F" w14:textId="77777777" w:rsidR="00FA68F4" w:rsidRPr="00FA68F4" w:rsidRDefault="00FA68F4" w:rsidP="00FA68F4">
      <w:pPr>
        <w:jc w:val="both"/>
        <w:rPr>
          <w:rFonts w:ascii="Arial" w:eastAsia="Andale Sans UI" w:hAnsi="Arial" w:cs="Arial"/>
          <w:kern w:val="3"/>
          <w:sz w:val="20"/>
          <w:szCs w:val="20"/>
          <w:lang w:eastAsia="ja-JP" w:bidi="fa-IR"/>
        </w:rPr>
      </w:pPr>
    </w:p>
    <w:p w14:paraId="6E295918" w14:textId="01AEBC0A" w:rsidR="00FA68F4" w:rsidRPr="00FA68F4" w:rsidRDefault="00FA68F4" w:rsidP="00FA68F4">
      <w:pPr>
        <w:jc w:val="both"/>
        <w:rPr>
          <w:rFonts w:ascii="Arial" w:eastAsia="Andale Sans UI" w:hAnsi="Arial" w:cs="Arial"/>
          <w:kern w:val="3"/>
          <w:sz w:val="20"/>
          <w:szCs w:val="20"/>
          <w:lang w:eastAsia="ja-JP" w:bidi="fa-IR"/>
        </w:rPr>
      </w:pPr>
      <w:r w:rsidRPr="00FA68F4">
        <w:rPr>
          <w:rFonts w:ascii="Arial" w:eastAsia="Andale Sans UI" w:hAnsi="Arial" w:cs="Arial"/>
          <w:kern w:val="3"/>
          <w:sz w:val="20"/>
          <w:szCs w:val="20"/>
          <w:lang w:eastAsia="ja-JP" w:bidi="fa-IR"/>
        </w:rPr>
        <w:t>Il piano concordatario</w:t>
      </w:r>
      <w:r>
        <w:rPr>
          <w:rFonts w:ascii="Arial" w:eastAsia="Andale Sans UI" w:hAnsi="Arial" w:cs="Arial"/>
          <w:kern w:val="3"/>
          <w:sz w:val="20"/>
          <w:szCs w:val="20"/>
          <w:lang w:eastAsia="ja-JP" w:bidi="fa-IR"/>
        </w:rPr>
        <w:t xml:space="preserve"> </w:t>
      </w:r>
      <w:r w:rsidR="002A4703">
        <w:rPr>
          <w:rFonts w:ascii="Arial" w:eastAsia="Andale Sans UI" w:hAnsi="Arial" w:cs="Arial"/>
          <w:kern w:val="3"/>
          <w:sz w:val="20"/>
          <w:szCs w:val="20"/>
          <w:lang w:eastAsia="ja-JP" w:bidi="fa-IR"/>
        </w:rPr>
        <w:t>della ANM S.p.A.</w:t>
      </w:r>
      <w:r w:rsidRPr="00FA68F4">
        <w:rPr>
          <w:rFonts w:ascii="Arial" w:eastAsia="Andale Sans UI" w:hAnsi="Arial" w:cs="Arial"/>
          <w:kern w:val="3"/>
          <w:sz w:val="20"/>
          <w:szCs w:val="20"/>
          <w:lang w:eastAsia="ja-JP" w:bidi="fa-IR"/>
        </w:rPr>
        <w:t>, tuttavia, si basa su alcune principali ipotesi ed assunzioni, alcune delle quali risultano già realizzate, mentre altre risultano soggette a molteplici elementi di incertezza</w:t>
      </w:r>
      <w:r w:rsidR="003E72E9">
        <w:rPr>
          <w:rFonts w:ascii="Arial" w:eastAsia="Andale Sans UI" w:hAnsi="Arial" w:cs="Arial"/>
          <w:kern w:val="3"/>
          <w:sz w:val="20"/>
          <w:szCs w:val="20"/>
          <w:lang w:eastAsia="ja-JP" w:bidi="fa-IR"/>
        </w:rPr>
        <w:t xml:space="preserve"> significativa</w:t>
      </w:r>
      <w:r w:rsidRPr="00FA68F4">
        <w:rPr>
          <w:rFonts w:ascii="Arial" w:eastAsia="Andale Sans UI" w:hAnsi="Arial" w:cs="Arial"/>
          <w:kern w:val="3"/>
          <w:sz w:val="20"/>
          <w:szCs w:val="20"/>
          <w:lang w:eastAsia="ja-JP" w:bidi="fa-IR"/>
        </w:rPr>
        <w:t xml:space="preserve">, in quanto la definizione e/o la realizzazione delle stesse è connessa ad eventi futuri, incerti ed al di fuori del controllo </w:t>
      </w:r>
      <w:r w:rsidR="002A4703">
        <w:rPr>
          <w:rFonts w:ascii="Arial" w:eastAsia="Andale Sans UI" w:hAnsi="Arial" w:cs="Arial"/>
          <w:kern w:val="3"/>
          <w:sz w:val="20"/>
          <w:szCs w:val="20"/>
          <w:lang w:eastAsia="ja-JP" w:bidi="fa-IR"/>
        </w:rPr>
        <w:t>del Gruppo</w:t>
      </w:r>
      <w:r w:rsidRPr="00FA68F4">
        <w:rPr>
          <w:rFonts w:ascii="Arial" w:eastAsia="Andale Sans UI" w:hAnsi="Arial" w:cs="Arial"/>
          <w:kern w:val="3"/>
          <w:sz w:val="20"/>
          <w:szCs w:val="20"/>
          <w:lang w:eastAsia="ja-JP" w:bidi="fa-IR"/>
        </w:rPr>
        <w:t>, anche alla luce del nuovo contesto venutosi a determinare per effetto della situazione emergenziale Covid–19.</w:t>
      </w:r>
    </w:p>
    <w:p w14:paraId="434BD3D9" w14:textId="77777777" w:rsidR="00FA68F4" w:rsidRPr="00FA68F4" w:rsidRDefault="00FA68F4" w:rsidP="00FA68F4">
      <w:pPr>
        <w:jc w:val="both"/>
        <w:rPr>
          <w:rFonts w:ascii="Arial" w:eastAsia="Andale Sans UI" w:hAnsi="Arial" w:cs="Arial"/>
          <w:kern w:val="3"/>
          <w:sz w:val="20"/>
          <w:szCs w:val="20"/>
          <w:lang w:eastAsia="ja-JP" w:bidi="fa-IR"/>
        </w:rPr>
      </w:pPr>
    </w:p>
    <w:p w14:paraId="4F0AF57C" w14:textId="77777777" w:rsidR="00FA68F4" w:rsidRPr="00FA68F4" w:rsidRDefault="00FA68F4" w:rsidP="00FA68F4">
      <w:pPr>
        <w:jc w:val="both"/>
        <w:rPr>
          <w:rFonts w:ascii="Arial" w:eastAsia="Andale Sans UI" w:hAnsi="Arial" w:cs="Arial"/>
          <w:kern w:val="3"/>
          <w:sz w:val="20"/>
          <w:szCs w:val="20"/>
          <w:lang w:eastAsia="ja-JP" w:bidi="fa-IR"/>
        </w:rPr>
      </w:pPr>
      <w:r w:rsidRPr="00FA68F4">
        <w:rPr>
          <w:rFonts w:ascii="Arial" w:eastAsia="Andale Sans UI" w:hAnsi="Arial" w:cs="Arial"/>
          <w:kern w:val="3"/>
          <w:sz w:val="20"/>
          <w:szCs w:val="20"/>
          <w:lang w:eastAsia="ja-JP" w:bidi="fa-IR"/>
        </w:rPr>
        <w:t>L’anno 2020 è stato inoltre caratterizzato dall’insorgere della pandemia legata al nuovo coronavirus. In particolare, a partire dal mese di gennaio 2020, lo scenario nazionale e internazionale è stato caratterizzato dalla diffusione del virus Covid – 19 (“Coronavirus”) e dalle conseguenti misure restrittive per il suo contenimento, poste in essere da parte delle autorità pubbliche dei Paesi interessati. In particolare, il fenomeno “Coronavirus” si è manifestato nella Repubblica Popolare Cinese in un periodo molto vicino alla data di chiusura dei bilanci 2019 e la situazione si è mostrata in repentina evoluzione successivamente al 31 dicembre 2019. Sebbene le prime informazioni sui casi di infezione fornite dalle autorità della Repubblica Popolare Cinese risalgano alla fine del 2019, solo il 30 gennaio 2020 l’International Health Regulations Emergency Committee dell’Organizzazione Mondiale della Sanità ha dichiarato l’esistenza di un fenomeno di emergenza internazionale.</w:t>
      </w:r>
    </w:p>
    <w:p w14:paraId="72788516" w14:textId="77777777" w:rsidR="00FA68F4" w:rsidRPr="00FA68F4" w:rsidRDefault="00FA68F4" w:rsidP="00FA68F4">
      <w:pPr>
        <w:jc w:val="both"/>
        <w:rPr>
          <w:rFonts w:ascii="Arial" w:eastAsia="Andale Sans UI" w:hAnsi="Arial" w:cs="Arial"/>
          <w:kern w:val="3"/>
          <w:sz w:val="20"/>
          <w:szCs w:val="20"/>
          <w:lang w:eastAsia="ja-JP" w:bidi="fa-IR"/>
        </w:rPr>
      </w:pPr>
      <w:r w:rsidRPr="00FA68F4">
        <w:rPr>
          <w:rFonts w:ascii="Arial" w:eastAsia="Andale Sans UI" w:hAnsi="Arial" w:cs="Arial"/>
          <w:kern w:val="3"/>
          <w:sz w:val="20"/>
          <w:szCs w:val="20"/>
          <w:lang w:eastAsia="ja-JP" w:bidi="fa-IR"/>
        </w:rPr>
        <w:t>Tutto ciò, a partire da marzo 2020 ha generato pesanti restrizioni per affrontare l’emergenza.</w:t>
      </w:r>
    </w:p>
    <w:p w14:paraId="1496A48A" w14:textId="77777777" w:rsidR="00FA68F4" w:rsidRPr="00FA68F4" w:rsidRDefault="00FA68F4" w:rsidP="00FA68F4">
      <w:pPr>
        <w:jc w:val="both"/>
        <w:rPr>
          <w:rFonts w:ascii="Arial" w:eastAsia="Andale Sans UI" w:hAnsi="Arial" w:cs="Arial"/>
          <w:kern w:val="3"/>
          <w:sz w:val="20"/>
          <w:szCs w:val="20"/>
          <w:lang w:eastAsia="ja-JP" w:bidi="fa-IR"/>
        </w:rPr>
      </w:pPr>
      <w:r w:rsidRPr="00FA68F4">
        <w:rPr>
          <w:rFonts w:ascii="Arial" w:eastAsia="Andale Sans UI" w:hAnsi="Arial" w:cs="Arial"/>
          <w:kern w:val="3"/>
          <w:sz w:val="20"/>
          <w:szCs w:val="20"/>
          <w:lang w:eastAsia="ja-JP" w:bidi="fa-IR"/>
        </w:rPr>
        <w:t xml:space="preserve">Tali restrizioni nella fase di lockdown (dal 9 marzo al 17 maggio), hanno comportato la chiusura di tutte le attività non ritenute indispensabili e forti restrizioni per la libertà di spostamento, misure che inevitabilmente hanno avuto una ricaduta negativa per il settore della mobilità. Durante il lockdown si è registrata una forte riduzione dei passeggeri e quindi dei ricavi da traffico, pari a circa il 90%. Perdite analoghe riguardano il settore della sosta, determinate dalla sospensione </w:t>
      </w:r>
      <w:r w:rsidRPr="00FA68F4">
        <w:rPr>
          <w:rFonts w:ascii="Arial" w:eastAsia="Andale Sans UI" w:hAnsi="Arial" w:cs="Arial"/>
          <w:kern w:val="3"/>
          <w:sz w:val="20"/>
          <w:szCs w:val="20"/>
          <w:lang w:eastAsia="ja-JP" w:bidi="fa-IR"/>
        </w:rPr>
        <w:lastRenderedPageBreak/>
        <w:t xml:space="preserve">delle attività di controllo e dalle Delibere di Giunta Comunale n. 78/2020 e n. 83/2020, che hanno reso la sosta gratuita nelle aree di sosta a pagamento senza custodia (c.d. strisce blu) a favore di tutte le categorie di lavoratori ancora operanti ai sensi dei vigenti DPCM. A partire dal 18 maggio le misure restrittive sono state gradualmente alleggerite, ma le regole di distanziamento sociale, applicabili per il trasporto di persone non consentono comunque di tornare a livelli di riempimento dei veicoli adeguati a garantire una sufficiente copertura dei costi con ricavi da traffico. </w:t>
      </w:r>
    </w:p>
    <w:p w14:paraId="72330C3C" w14:textId="77777777" w:rsidR="00FA68F4" w:rsidRPr="00FA68F4" w:rsidRDefault="00FA68F4" w:rsidP="00FA68F4">
      <w:pPr>
        <w:jc w:val="both"/>
        <w:rPr>
          <w:rFonts w:ascii="Arial" w:eastAsia="Andale Sans UI" w:hAnsi="Arial" w:cs="Arial"/>
          <w:kern w:val="3"/>
          <w:sz w:val="20"/>
          <w:szCs w:val="20"/>
          <w:lang w:eastAsia="ja-JP" w:bidi="fa-IR"/>
        </w:rPr>
      </w:pPr>
    </w:p>
    <w:p w14:paraId="2B694C4A" w14:textId="77777777" w:rsidR="00FA68F4" w:rsidRPr="00FA68F4" w:rsidRDefault="00FA68F4" w:rsidP="00FA68F4">
      <w:pPr>
        <w:jc w:val="both"/>
        <w:rPr>
          <w:rFonts w:ascii="Arial" w:eastAsia="Andale Sans UI" w:hAnsi="Arial" w:cs="Arial"/>
          <w:kern w:val="3"/>
          <w:sz w:val="20"/>
          <w:szCs w:val="20"/>
          <w:lang w:eastAsia="ja-JP" w:bidi="fa-IR"/>
        </w:rPr>
      </w:pPr>
      <w:r>
        <w:rPr>
          <w:rFonts w:ascii="Arial" w:eastAsia="Andale Sans UI" w:hAnsi="Arial" w:cs="Arial"/>
          <w:kern w:val="3"/>
          <w:sz w:val="20"/>
          <w:szCs w:val="20"/>
          <w:lang w:eastAsia="ja-JP" w:bidi="fa-IR"/>
        </w:rPr>
        <w:t xml:space="preserve">È </w:t>
      </w:r>
      <w:r w:rsidRPr="00FA68F4">
        <w:rPr>
          <w:rFonts w:ascii="Arial" w:eastAsia="Andale Sans UI" w:hAnsi="Arial" w:cs="Arial"/>
          <w:kern w:val="3"/>
          <w:sz w:val="20"/>
          <w:szCs w:val="20"/>
          <w:lang w:eastAsia="ja-JP" w:bidi="fa-IR"/>
        </w:rPr>
        <w:t>opportuno tuttavia specificare che, rispetto alle previsioni contenute nel piano concordatario, gli utili e la marginalità operativa realizzata negli anni 2018 e 2019 sono risultati notevolmente superiori alle previsioni. Tale andamento positivo è stato frutto soprattutto dalle misure di efficientamento del settore TPL, settore per cui il piano di concordato prevedeva la cessazione con subentro di nuovo gestore per il 2020, in considerazione della scadenza del contratto di servizio in data 31.12.2019. A tale riguardo, è opportuno specificare, inoltre, che le procedure di gara indette dalla Regione Campania non hanno portato ancora ad alcuna aggiudicazione per il lotto 4 (Città Metropolitana) e per il lotto 5 (Comune di Napoli). Il processo di aggiudicazione è pertanto ancora in fase di pre-informazione. Ne consegue che ANM, a differenza di quanto previsto nel piano di concordato, continua ad effettuare i servizi TPL alle stesse condizioni dell’ultimo anno di validità del contratto, così come previsto dall’art. 1 del Contratto di Servizio.</w:t>
      </w:r>
    </w:p>
    <w:p w14:paraId="01A07B58" w14:textId="77777777" w:rsidR="00FA68F4" w:rsidRPr="00FA68F4" w:rsidRDefault="00FA68F4" w:rsidP="00FA68F4">
      <w:pPr>
        <w:jc w:val="both"/>
        <w:rPr>
          <w:rFonts w:ascii="Arial" w:eastAsia="Andale Sans UI" w:hAnsi="Arial" w:cs="Arial"/>
          <w:kern w:val="3"/>
          <w:sz w:val="20"/>
          <w:szCs w:val="20"/>
          <w:lang w:eastAsia="ja-JP" w:bidi="fa-IR"/>
        </w:rPr>
      </w:pPr>
      <w:r w:rsidRPr="00FA68F4">
        <w:rPr>
          <w:rFonts w:ascii="Arial" w:eastAsia="Andale Sans UI" w:hAnsi="Arial" w:cs="Arial"/>
          <w:kern w:val="3"/>
          <w:sz w:val="20"/>
          <w:szCs w:val="20"/>
          <w:lang w:eastAsia="ja-JP" w:bidi="fa-IR"/>
        </w:rPr>
        <w:t>A valle di un’approfondita analisi, tenuto conto dei tempi necessari per il perfezionamento delle procedure di gara finalizzate, nonché per il loro effettivo subentro, si sono considerate prudenzialmente le seguenti scadenze:</w:t>
      </w:r>
    </w:p>
    <w:p w14:paraId="04A884E3" w14:textId="77777777" w:rsidR="00FA68F4" w:rsidRPr="00FA68F4" w:rsidRDefault="00FA68F4" w:rsidP="00FA68F4">
      <w:pPr>
        <w:jc w:val="both"/>
        <w:rPr>
          <w:rFonts w:ascii="Arial" w:eastAsia="Andale Sans UI" w:hAnsi="Arial" w:cs="Arial"/>
          <w:kern w:val="3"/>
          <w:sz w:val="20"/>
          <w:szCs w:val="20"/>
          <w:lang w:eastAsia="ja-JP" w:bidi="fa-IR"/>
        </w:rPr>
      </w:pPr>
      <w:r w:rsidRPr="00FA68F4">
        <w:rPr>
          <w:rFonts w:ascii="Arial" w:eastAsia="Andale Sans UI" w:hAnsi="Arial" w:cs="Arial"/>
          <w:kern w:val="3"/>
          <w:sz w:val="20"/>
          <w:szCs w:val="20"/>
          <w:lang w:eastAsia="ja-JP" w:bidi="fa-IR"/>
        </w:rPr>
        <w:t>(i) per il servizio TPL suburbano di Città metropolitana di Napoli l’assegnazione e subentro nel servizio da parte di un nuovo gestore a partire dal 01 gennaio 2022;</w:t>
      </w:r>
    </w:p>
    <w:p w14:paraId="4FFEA87F" w14:textId="77777777" w:rsidR="00FA68F4" w:rsidRPr="00FA68F4" w:rsidRDefault="00FA68F4" w:rsidP="00FA68F4">
      <w:pPr>
        <w:jc w:val="both"/>
        <w:rPr>
          <w:rFonts w:ascii="Arial" w:eastAsia="Andale Sans UI" w:hAnsi="Arial" w:cs="Arial"/>
          <w:kern w:val="3"/>
          <w:sz w:val="20"/>
          <w:szCs w:val="20"/>
          <w:lang w:eastAsia="ja-JP" w:bidi="fa-IR"/>
        </w:rPr>
      </w:pPr>
      <w:r w:rsidRPr="00FA68F4">
        <w:rPr>
          <w:rFonts w:ascii="Arial" w:eastAsia="Andale Sans UI" w:hAnsi="Arial" w:cs="Arial"/>
          <w:kern w:val="3"/>
          <w:sz w:val="20"/>
          <w:szCs w:val="20"/>
          <w:lang w:eastAsia="ja-JP" w:bidi="fa-IR"/>
        </w:rPr>
        <w:t>(ii) per il servizio TPL urbano della Città di Napoli l’assegnazione e subentro nel servizio da parte di un nuovo gestore a partire dal 01 gennaio 2023.</w:t>
      </w:r>
    </w:p>
    <w:p w14:paraId="7792DFAA" w14:textId="08F02FAD" w:rsidR="00FA68F4" w:rsidRDefault="00FA68F4" w:rsidP="00FA68F4">
      <w:pPr>
        <w:jc w:val="both"/>
        <w:rPr>
          <w:rFonts w:ascii="Arial" w:eastAsia="Andale Sans UI" w:hAnsi="Arial" w:cs="Arial"/>
          <w:kern w:val="3"/>
          <w:sz w:val="20"/>
          <w:szCs w:val="20"/>
          <w:lang w:eastAsia="ja-JP" w:bidi="fa-IR"/>
        </w:rPr>
      </w:pPr>
      <w:r w:rsidRPr="00FA68F4">
        <w:rPr>
          <w:rFonts w:ascii="Arial" w:eastAsia="Andale Sans UI" w:hAnsi="Arial" w:cs="Arial"/>
          <w:kern w:val="3"/>
          <w:sz w:val="20"/>
          <w:szCs w:val="20"/>
          <w:lang w:eastAsia="ja-JP" w:bidi="fa-IR"/>
        </w:rPr>
        <w:t>Tale impostazione è stata coadiuvata da un apposito parere redatto da una società di consulenza di primario profilo.</w:t>
      </w:r>
    </w:p>
    <w:p w14:paraId="2E4706E5" w14:textId="77777777" w:rsidR="003E72E9" w:rsidRDefault="003E72E9" w:rsidP="003E72E9">
      <w:pPr>
        <w:jc w:val="both"/>
        <w:rPr>
          <w:rFonts w:ascii="Arial" w:eastAsia="Andale Sans UI" w:hAnsi="Arial" w:cs="Arial"/>
          <w:kern w:val="3"/>
          <w:sz w:val="20"/>
          <w:szCs w:val="20"/>
          <w:lang w:eastAsia="ja-JP" w:bidi="fa-IR"/>
        </w:rPr>
      </w:pPr>
    </w:p>
    <w:p w14:paraId="0161B9EC" w14:textId="2770845B" w:rsidR="003E72E9" w:rsidRPr="003E72E9" w:rsidRDefault="003E72E9" w:rsidP="003E72E9">
      <w:pPr>
        <w:jc w:val="both"/>
        <w:rPr>
          <w:rFonts w:ascii="Arial" w:eastAsia="Andale Sans UI" w:hAnsi="Arial" w:cs="Arial"/>
          <w:kern w:val="3"/>
          <w:sz w:val="20"/>
          <w:szCs w:val="20"/>
          <w:lang w:eastAsia="ja-JP" w:bidi="fa-IR"/>
        </w:rPr>
      </w:pPr>
      <w:r w:rsidRPr="003E72E9">
        <w:rPr>
          <w:rFonts w:ascii="Arial" w:eastAsia="Andale Sans UI" w:hAnsi="Arial" w:cs="Arial"/>
          <w:kern w:val="3"/>
          <w:sz w:val="20"/>
          <w:szCs w:val="20"/>
          <w:lang w:eastAsia="ja-JP" w:bidi="fa-IR"/>
        </w:rPr>
        <w:t xml:space="preserve">Nella delineata situazione, dopo aver valutato gli elementi di incertezza significativa , sulla base delle linee guida su cui si fonda il piano concordatario e tenuto conto dell’avvenuta omologa del concordato preventivo e dei conseguenti effetti contabili di riduzione dell’indebitamento e di incremento del patrimonio netto, il bilancio </w:t>
      </w:r>
      <w:r w:rsidR="00EC7C75">
        <w:rPr>
          <w:rFonts w:ascii="Arial" w:eastAsia="Andale Sans UI" w:hAnsi="Arial" w:cs="Arial"/>
          <w:kern w:val="3"/>
          <w:sz w:val="20"/>
          <w:szCs w:val="20"/>
          <w:lang w:eastAsia="ja-JP" w:bidi="fa-IR"/>
        </w:rPr>
        <w:t>consolidato</w:t>
      </w:r>
      <w:r w:rsidR="00EC7C75" w:rsidRPr="003E72E9">
        <w:rPr>
          <w:rFonts w:ascii="Arial" w:eastAsia="Andale Sans UI" w:hAnsi="Arial" w:cs="Arial"/>
          <w:kern w:val="3"/>
          <w:sz w:val="20"/>
          <w:szCs w:val="20"/>
          <w:lang w:eastAsia="ja-JP" w:bidi="fa-IR"/>
        </w:rPr>
        <w:t xml:space="preserve"> </w:t>
      </w:r>
      <w:r w:rsidRPr="003E72E9">
        <w:rPr>
          <w:rFonts w:ascii="Arial" w:eastAsia="Andale Sans UI" w:hAnsi="Arial" w:cs="Arial"/>
          <w:kern w:val="3"/>
          <w:sz w:val="20"/>
          <w:szCs w:val="20"/>
          <w:lang w:eastAsia="ja-JP" w:bidi="fa-IR"/>
        </w:rPr>
        <w:t>chiuso al 31 dicembre 2019 è stato predisposto con criteri di funzionamento, adottando tuttavia una serie di cautele valutative che il contesto di riferimento impone.</w:t>
      </w:r>
    </w:p>
    <w:p w14:paraId="60BC739D" w14:textId="5AD49903" w:rsidR="00FA68F4" w:rsidRPr="00FA68F4" w:rsidRDefault="00FA68F4" w:rsidP="00FA68F4">
      <w:pPr>
        <w:jc w:val="both"/>
        <w:rPr>
          <w:rFonts w:ascii="Arial" w:eastAsia="Andale Sans UI" w:hAnsi="Arial" w:cs="Arial"/>
          <w:kern w:val="3"/>
          <w:sz w:val="20"/>
          <w:szCs w:val="20"/>
          <w:lang w:eastAsia="ja-JP" w:bidi="fa-IR"/>
        </w:rPr>
      </w:pPr>
    </w:p>
    <w:p w14:paraId="38AC258D" w14:textId="64251135" w:rsidR="00FA68F4" w:rsidRPr="00106036" w:rsidRDefault="00FA68F4" w:rsidP="00FA68F4">
      <w:pPr>
        <w:jc w:val="both"/>
        <w:rPr>
          <w:rFonts w:ascii="Arial" w:eastAsia="Andale Sans UI" w:hAnsi="Arial" w:cs="Arial"/>
          <w:kern w:val="3"/>
          <w:sz w:val="20"/>
          <w:szCs w:val="20"/>
          <w:lang w:eastAsia="ja-JP" w:bidi="fa-IR"/>
        </w:rPr>
      </w:pPr>
      <w:r w:rsidRPr="00FA68F4">
        <w:rPr>
          <w:rFonts w:ascii="Arial" w:eastAsia="Andale Sans UI" w:hAnsi="Arial" w:cs="Arial"/>
          <w:kern w:val="3"/>
          <w:sz w:val="20"/>
          <w:szCs w:val="20"/>
          <w:lang w:eastAsia="ja-JP" w:bidi="fa-IR"/>
        </w:rPr>
        <w:t>Nella delineata situazione, si evidenzia che la capacità del</w:t>
      </w:r>
      <w:r w:rsidR="00EC7C75">
        <w:rPr>
          <w:rFonts w:ascii="Arial" w:eastAsia="Andale Sans UI" w:hAnsi="Arial" w:cs="Arial"/>
          <w:kern w:val="3"/>
          <w:sz w:val="20"/>
          <w:szCs w:val="20"/>
          <w:lang w:eastAsia="ja-JP" w:bidi="fa-IR"/>
        </w:rPr>
        <w:t xml:space="preserve"> Gruppo </w:t>
      </w:r>
      <w:r w:rsidRPr="00FA68F4">
        <w:rPr>
          <w:rFonts w:ascii="Arial" w:eastAsia="Andale Sans UI" w:hAnsi="Arial" w:cs="Arial"/>
          <w:kern w:val="3"/>
          <w:sz w:val="20"/>
          <w:szCs w:val="20"/>
          <w:lang w:eastAsia="ja-JP" w:bidi="fa-IR"/>
        </w:rPr>
        <w:t xml:space="preserve">di operare nel prevedibile futuro è subordinata ad alcuni rilevanti presupposti essenziali che risiedono nella realizzazione delle azioni e delle ipotesi </w:t>
      </w:r>
      <w:r w:rsidR="003E72E9">
        <w:rPr>
          <w:rFonts w:ascii="Arial" w:eastAsia="Andale Sans UI" w:hAnsi="Arial" w:cs="Arial"/>
          <w:kern w:val="3"/>
          <w:sz w:val="20"/>
          <w:szCs w:val="20"/>
          <w:lang w:eastAsia="ja-JP" w:bidi="fa-IR"/>
        </w:rPr>
        <w:t xml:space="preserve">sopracitate ed </w:t>
      </w:r>
      <w:r w:rsidRPr="00FA68F4">
        <w:rPr>
          <w:rFonts w:ascii="Arial" w:eastAsia="Andale Sans UI" w:hAnsi="Arial" w:cs="Arial"/>
          <w:kern w:val="3"/>
          <w:sz w:val="20"/>
          <w:szCs w:val="20"/>
          <w:lang w:eastAsia="ja-JP" w:bidi="fa-IR"/>
        </w:rPr>
        <w:t xml:space="preserve">utilizzate alla base del summenzionato piano. Pertanto, il venir meno del presupposto della continuità aziendale potrebbe comportare la mancata realizzabilità delle attività iscritte e/o l’insorgere di passività non riflesse nel bilancio </w:t>
      </w:r>
      <w:r w:rsidR="00EC7C75">
        <w:rPr>
          <w:rFonts w:ascii="Arial" w:eastAsia="Andale Sans UI" w:hAnsi="Arial" w:cs="Arial"/>
          <w:kern w:val="3"/>
          <w:sz w:val="20"/>
          <w:szCs w:val="20"/>
          <w:lang w:eastAsia="ja-JP" w:bidi="fa-IR"/>
        </w:rPr>
        <w:t>consolidato</w:t>
      </w:r>
      <w:r w:rsidR="00EC7C75" w:rsidRPr="00FA68F4">
        <w:rPr>
          <w:rFonts w:ascii="Arial" w:eastAsia="Andale Sans UI" w:hAnsi="Arial" w:cs="Arial"/>
          <w:kern w:val="3"/>
          <w:sz w:val="20"/>
          <w:szCs w:val="20"/>
          <w:lang w:eastAsia="ja-JP" w:bidi="fa-IR"/>
        </w:rPr>
        <w:t xml:space="preserve"> </w:t>
      </w:r>
      <w:r w:rsidRPr="00FA68F4">
        <w:rPr>
          <w:rFonts w:ascii="Arial" w:eastAsia="Andale Sans UI" w:hAnsi="Arial" w:cs="Arial"/>
          <w:kern w:val="3"/>
          <w:sz w:val="20"/>
          <w:szCs w:val="20"/>
          <w:lang w:eastAsia="ja-JP" w:bidi="fa-IR"/>
        </w:rPr>
        <w:t>al 31 dicembre 2019.</w:t>
      </w:r>
    </w:p>
    <w:p w14:paraId="3F29720E" w14:textId="66078E03" w:rsidR="00F97B7C" w:rsidRDefault="00F97B7C" w:rsidP="00F97B7C">
      <w:pPr>
        <w:jc w:val="both"/>
        <w:rPr>
          <w:rFonts w:ascii="Arial" w:eastAsia="Andale Sans UI" w:hAnsi="Arial" w:cs="Arial"/>
          <w:kern w:val="3"/>
          <w:sz w:val="20"/>
          <w:szCs w:val="20"/>
          <w:highlight w:val="yellow"/>
          <w:lang w:eastAsia="ja-JP" w:bidi="fa-IR"/>
        </w:rPr>
      </w:pPr>
    </w:p>
    <w:p w14:paraId="4AE001A6" w14:textId="77777777" w:rsidR="003E72E9" w:rsidRPr="00F97B7C" w:rsidRDefault="003E72E9" w:rsidP="00F97B7C">
      <w:pPr>
        <w:jc w:val="both"/>
        <w:rPr>
          <w:rFonts w:ascii="Arial" w:eastAsia="Andale Sans UI" w:hAnsi="Arial" w:cs="Arial"/>
          <w:kern w:val="3"/>
          <w:sz w:val="20"/>
          <w:szCs w:val="20"/>
          <w:highlight w:val="yellow"/>
          <w:lang w:eastAsia="ja-JP" w:bidi="fa-IR"/>
        </w:rPr>
      </w:pPr>
    </w:p>
    <w:p w14:paraId="34096924" w14:textId="77777777" w:rsidR="00EE4AF0" w:rsidRDefault="00D67CBD" w:rsidP="001223E5">
      <w:pPr>
        <w:pStyle w:val="Titolo6"/>
        <w:shd w:val="clear" w:color="auto" w:fill="F3F3F3"/>
        <w:rPr>
          <w:rFonts w:ascii="Arial" w:hAnsi="Arial" w:cs="Arial"/>
          <w:sz w:val="20"/>
        </w:rPr>
      </w:pPr>
      <w:r w:rsidRPr="00D67CBD">
        <w:rPr>
          <w:rFonts w:ascii="Arial" w:hAnsi="Arial" w:cs="Arial"/>
          <w:sz w:val="20"/>
        </w:rPr>
        <w:t>AREA E METODI DI CONSOLIDAMENTO</w:t>
      </w:r>
    </w:p>
    <w:p w14:paraId="68134CB0" w14:textId="58FD24C0" w:rsidR="00EE4AF0" w:rsidRDefault="00EE4AF0" w:rsidP="001223E5">
      <w:pPr>
        <w:pStyle w:val="Corpotesto"/>
        <w:widowControl w:val="0"/>
        <w:spacing w:before="120" w:after="120"/>
        <w:rPr>
          <w:rFonts w:ascii="Arial" w:hAnsi="Arial" w:cs="Arial"/>
          <w:sz w:val="20"/>
        </w:rPr>
      </w:pPr>
      <w:r>
        <w:rPr>
          <w:rFonts w:ascii="Arial" w:hAnsi="Arial" w:cs="Arial"/>
          <w:sz w:val="20"/>
        </w:rPr>
        <w:t xml:space="preserve">La società </w:t>
      </w:r>
      <w:r w:rsidR="002A4703">
        <w:rPr>
          <w:rFonts w:ascii="Arial" w:hAnsi="Arial" w:cs="Arial"/>
          <w:sz w:val="20"/>
        </w:rPr>
        <w:t xml:space="preserve">Capogruppo </w:t>
      </w:r>
      <w:r>
        <w:rPr>
          <w:rFonts w:ascii="Arial" w:hAnsi="Arial" w:cs="Arial"/>
          <w:sz w:val="20"/>
        </w:rPr>
        <w:t xml:space="preserve">è controllata per il 100% dal Comune di Napoli ed è </w:t>
      </w:r>
      <w:r w:rsidR="00662FD0">
        <w:rPr>
          <w:rFonts w:ascii="Arial" w:hAnsi="Arial" w:cs="Arial"/>
          <w:sz w:val="20"/>
        </w:rPr>
        <w:t>pertanto soggetta</w:t>
      </w:r>
      <w:r>
        <w:rPr>
          <w:rFonts w:ascii="Arial" w:hAnsi="Arial" w:cs="Arial"/>
          <w:sz w:val="20"/>
        </w:rPr>
        <w:t xml:space="preserve"> alla direzione e coordinamento ai sen</w:t>
      </w:r>
      <w:r w:rsidR="00684305">
        <w:rPr>
          <w:rFonts w:ascii="Arial" w:hAnsi="Arial" w:cs="Arial"/>
          <w:sz w:val="20"/>
        </w:rPr>
        <w:t xml:space="preserve">si dell’art. 2497 bis </w:t>
      </w:r>
      <w:r w:rsidR="00693B59">
        <w:rPr>
          <w:rFonts w:ascii="Arial" w:hAnsi="Arial" w:cs="Arial"/>
          <w:sz w:val="20"/>
        </w:rPr>
        <w:t>Codice civile</w:t>
      </w:r>
      <w:r w:rsidR="00774772">
        <w:rPr>
          <w:rFonts w:ascii="Arial" w:hAnsi="Arial" w:cs="Arial"/>
          <w:sz w:val="20"/>
        </w:rPr>
        <w:t>, e a sua volta esercita</w:t>
      </w:r>
      <w:r w:rsidR="00991FA3">
        <w:rPr>
          <w:rFonts w:ascii="Arial" w:hAnsi="Arial" w:cs="Arial"/>
          <w:sz w:val="20"/>
        </w:rPr>
        <w:t xml:space="preserve"> attività di </w:t>
      </w:r>
      <w:r w:rsidR="00774772">
        <w:rPr>
          <w:rFonts w:ascii="Arial" w:hAnsi="Arial" w:cs="Arial"/>
          <w:sz w:val="20"/>
        </w:rPr>
        <w:t>dir</w:t>
      </w:r>
      <w:r w:rsidR="001C4418">
        <w:rPr>
          <w:rFonts w:ascii="Arial" w:hAnsi="Arial" w:cs="Arial"/>
          <w:sz w:val="20"/>
        </w:rPr>
        <w:t>ezione coordinamento e controlla al 100%</w:t>
      </w:r>
      <w:r w:rsidR="00991FA3">
        <w:rPr>
          <w:rFonts w:ascii="Arial" w:hAnsi="Arial" w:cs="Arial"/>
          <w:sz w:val="20"/>
        </w:rPr>
        <w:t xml:space="preserve"> </w:t>
      </w:r>
      <w:r w:rsidR="001C4418">
        <w:rPr>
          <w:rFonts w:ascii="Arial" w:hAnsi="Arial" w:cs="Arial"/>
          <w:sz w:val="20"/>
        </w:rPr>
        <w:t>la</w:t>
      </w:r>
      <w:r w:rsidR="00991FA3">
        <w:rPr>
          <w:rFonts w:ascii="Arial" w:hAnsi="Arial" w:cs="Arial"/>
          <w:sz w:val="20"/>
        </w:rPr>
        <w:t xml:space="preserve"> società A</w:t>
      </w:r>
      <w:r w:rsidR="001C4418">
        <w:rPr>
          <w:rFonts w:ascii="Arial" w:hAnsi="Arial" w:cs="Arial"/>
          <w:sz w:val="20"/>
        </w:rPr>
        <w:t>.</w:t>
      </w:r>
      <w:r w:rsidR="00991FA3">
        <w:rPr>
          <w:rFonts w:ascii="Arial" w:hAnsi="Arial" w:cs="Arial"/>
          <w:sz w:val="20"/>
        </w:rPr>
        <w:t>N</w:t>
      </w:r>
      <w:r w:rsidR="001C4418">
        <w:rPr>
          <w:rFonts w:ascii="Arial" w:hAnsi="Arial" w:cs="Arial"/>
          <w:sz w:val="20"/>
        </w:rPr>
        <w:t>.</w:t>
      </w:r>
      <w:r w:rsidR="00991FA3">
        <w:rPr>
          <w:rFonts w:ascii="Arial" w:hAnsi="Arial" w:cs="Arial"/>
          <w:sz w:val="20"/>
        </w:rPr>
        <w:t>M</w:t>
      </w:r>
      <w:r w:rsidR="001C4418">
        <w:rPr>
          <w:rFonts w:ascii="Arial" w:hAnsi="Arial" w:cs="Arial"/>
          <w:sz w:val="20"/>
        </w:rPr>
        <w:t>.</w:t>
      </w:r>
      <w:r w:rsidR="00991FA3">
        <w:rPr>
          <w:rFonts w:ascii="Arial" w:hAnsi="Arial" w:cs="Arial"/>
          <w:sz w:val="20"/>
        </w:rPr>
        <w:t xml:space="preserve"> </w:t>
      </w:r>
      <w:r w:rsidR="00234564">
        <w:rPr>
          <w:rFonts w:ascii="Arial" w:hAnsi="Arial" w:cs="Arial"/>
          <w:sz w:val="20"/>
        </w:rPr>
        <w:t>S.p.A.</w:t>
      </w:r>
      <w:r w:rsidR="00774772">
        <w:rPr>
          <w:rFonts w:ascii="Arial" w:hAnsi="Arial" w:cs="Arial"/>
          <w:sz w:val="20"/>
        </w:rPr>
        <w:t xml:space="preserve"> </w:t>
      </w:r>
    </w:p>
    <w:p w14:paraId="4771E822" w14:textId="19C61B63" w:rsidR="00D43A8E" w:rsidRDefault="001C4418" w:rsidP="001223E5">
      <w:pPr>
        <w:pStyle w:val="Corpotesto"/>
        <w:widowControl w:val="0"/>
        <w:spacing w:before="120" w:after="120"/>
        <w:rPr>
          <w:rFonts w:ascii="Arial" w:hAnsi="Arial" w:cs="Arial"/>
          <w:sz w:val="20"/>
        </w:rPr>
      </w:pPr>
      <w:r>
        <w:rPr>
          <w:rFonts w:ascii="Arial" w:hAnsi="Arial" w:cs="Arial"/>
          <w:sz w:val="20"/>
        </w:rPr>
        <w:t>La Società</w:t>
      </w:r>
      <w:r w:rsidR="00991FA3">
        <w:rPr>
          <w:rFonts w:ascii="Arial" w:hAnsi="Arial" w:cs="Arial"/>
          <w:sz w:val="20"/>
        </w:rPr>
        <w:t xml:space="preserve"> </w:t>
      </w:r>
      <w:r w:rsidR="002A4703">
        <w:rPr>
          <w:rFonts w:ascii="Arial" w:hAnsi="Arial" w:cs="Arial"/>
          <w:sz w:val="20"/>
        </w:rPr>
        <w:t xml:space="preserve">Capogruppo </w:t>
      </w:r>
      <w:r w:rsidR="00991FA3">
        <w:rPr>
          <w:rFonts w:ascii="Arial" w:hAnsi="Arial" w:cs="Arial"/>
          <w:sz w:val="20"/>
        </w:rPr>
        <w:t>è soggetta</w:t>
      </w:r>
      <w:r w:rsidR="005F17BD">
        <w:rPr>
          <w:rFonts w:ascii="Arial" w:hAnsi="Arial" w:cs="Arial"/>
          <w:sz w:val="20"/>
        </w:rPr>
        <w:t>, in qualità di capogruppo</w:t>
      </w:r>
      <w:r>
        <w:rPr>
          <w:rFonts w:ascii="Arial" w:hAnsi="Arial" w:cs="Arial"/>
          <w:sz w:val="20"/>
        </w:rPr>
        <w:t xml:space="preserve"> alla </w:t>
      </w:r>
      <w:r w:rsidR="00991FA3">
        <w:rPr>
          <w:rFonts w:ascii="Arial" w:hAnsi="Arial" w:cs="Arial"/>
          <w:sz w:val="20"/>
        </w:rPr>
        <w:t>reda</w:t>
      </w:r>
      <w:r w:rsidR="005F17BD">
        <w:rPr>
          <w:rFonts w:ascii="Arial" w:hAnsi="Arial" w:cs="Arial"/>
          <w:sz w:val="20"/>
        </w:rPr>
        <w:t>zione del bilancio consolidato.</w:t>
      </w:r>
    </w:p>
    <w:p w14:paraId="77E34547" w14:textId="77777777" w:rsidR="00D67CBD" w:rsidRPr="00D67CBD" w:rsidRDefault="00D67CBD" w:rsidP="001223E5">
      <w:pPr>
        <w:pStyle w:val="Corpotesto"/>
        <w:widowControl w:val="0"/>
        <w:spacing w:before="120" w:after="120"/>
        <w:rPr>
          <w:rFonts w:ascii="Arial" w:hAnsi="Arial" w:cs="Arial"/>
          <w:sz w:val="20"/>
        </w:rPr>
      </w:pPr>
      <w:r w:rsidRPr="00D67CBD">
        <w:rPr>
          <w:rFonts w:ascii="Arial" w:hAnsi="Arial" w:cs="Arial"/>
          <w:sz w:val="20"/>
        </w:rPr>
        <w:t>La data di chiusura de</w:t>
      </w:r>
      <w:r>
        <w:rPr>
          <w:rFonts w:ascii="Arial" w:hAnsi="Arial" w:cs="Arial"/>
          <w:sz w:val="20"/>
        </w:rPr>
        <w:t>lla società controllata</w:t>
      </w:r>
      <w:r w:rsidR="00920A09">
        <w:rPr>
          <w:rFonts w:ascii="Arial" w:hAnsi="Arial" w:cs="Arial"/>
          <w:sz w:val="20"/>
        </w:rPr>
        <w:t xml:space="preserve"> è il 31 dicembre 20</w:t>
      </w:r>
      <w:r w:rsidR="00662FD0">
        <w:rPr>
          <w:rFonts w:ascii="Arial" w:hAnsi="Arial" w:cs="Arial"/>
          <w:sz w:val="20"/>
        </w:rPr>
        <w:t>19</w:t>
      </w:r>
      <w:r w:rsidR="005F17BD">
        <w:rPr>
          <w:rFonts w:ascii="Arial" w:hAnsi="Arial" w:cs="Arial"/>
          <w:sz w:val="20"/>
        </w:rPr>
        <w:t xml:space="preserve"> ed è</w:t>
      </w:r>
      <w:r>
        <w:rPr>
          <w:rFonts w:ascii="Arial" w:hAnsi="Arial" w:cs="Arial"/>
          <w:sz w:val="20"/>
        </w:rPr>
        <w:t xml:space="preserve"> </w:t>
      </w:r>
      <w:r w:rsidR="005F17BD">
        <w:rPr>
          <w:rFonts w:ascii="Arial" w:hAnsi="Arial" w:cs="Arial"/>
          <w:sz w:val="20"/>
        </w:rPr>
        <w:t>coincidente con quella</w:t>
      </w:r>
      <w:r w:rsidRPr="00D67CBD">
        <w:rPr>
          <w:rFonts w:ascii="Arial" w:hAnsi="Arial" w:cs="Arial"/>
          <w:sz w:val="20"/>
        </w:rPr>
        <w:t xml:space="preserve"> della Capogruppo.</w:t>
      </w:r>
    </w:p>
    <w:p w14:paraId="64E5A855" w14:textId="77777777" w:rsidR="00D67CBD" w:rsidRPr="00D67CBD" w:rsidRDefault="00D67CBD" w:rsidP="001223E5">
      <w:pPr>
        <w:pStyle w:val="Corpotesto"/>
        <w:widowControl w:val="0"/>
        <w:spacing w:before="120" w:after="120"/>
        <w:rPr>
          <w:rFonts w:ascii="Arial" w:hAnsi="Arial" w:cs="Arial"/>
          <w:sz w:val="20"/>
        </w:rPr>
      </w:pPr>
      <w:r>
        <w:rPr>
          <w:rFonts w:ascii="Arial" w:hAnsi="Arial" w:cs="Arial"/>
          <w:sz w:val="20"/>
        </w:rPr>
        <w:t>I bilanci della Capogruppo e della società controllata, inclusa nell’area di consolidamento</w:t>
      </w:r>
      <w:r w:rsidRPr="00D67CBD">
        <w:rPr>
          <w:rFonts w:ascii="Arial" w:hAnsi="Arial" w:cs="Arial"/>
          <w:sz w:val="20"/>
        </w:rPr>
        <w:t xml:space="preserve"> sono consolidati con il metodo </w:t>
      </w:r>
      <w:r w:rsidR="001C6C4B">
        <w:rPr>
          <w:rFonts w:ascii="Arial" w:hAnsi="Arial" w:cs="Arial"/>
          <w:sz w:val="20"/>
        </w:rPr>
        <w:t>dell’integrazione globale</w:t>
      </w:r>
      <w:r w:rsidRPr="00D67CBD">
        <w:rPr>
          <w:rFonts w:ascii="Arial" w:hAnsi="Arial" w:cs="Arial"/>
          <w:sz w:val="20"/>
        </w:rPr>
        <w:t>.</w:t>
      </w:r>
    </w:p>
    <w:p w14:paraId="5977A250" w14:textId="7D11FDA2" w:rsidR="00D67CBD" w:rsidRDefault="00662FD0" w:rsidP="001223E5">
      <w:pPr>
        <w:pStyle w:val="Corpotesto"/>
        <w:widowControl w:val="0"/>
        <w:spacing w:before="120" w:after="120"/>
        <w:rPr>
          <w:rFonts w:ascii="Arial" w:hAnsi="Arial" w:cs="Arial"/>
          <w:sz w:val="20"/>
        </w:rPr>
      </w:pPr>
      <w:r w:rsidRPr="00D67CBD">
        <w:rPr>
          <w:rFonts w:ascii="Arial" w:hAnsi="Arial" w:cs="Arial"/>
          <w:sz w:val="20"/>
        </w:rPr>
        <w:lastRenderedPageBreak/>
        <w:t>Pertanto,</w:t>
      </w:r>
      <w:r w:rsidR="00D67CBD" w:rsidRPr="00D67CBD">
        <w:rPr>
          <w:rFonts w:ascii="Arial" w:hAnsi="Arial" w:cs="Arial"/>
          <w:sz w:val="20"/>
        </w:rPr>
        <w:t xml:space="preserve"> gli elementi dell’attivo e del passivo, nonché i costi ed i ricavi, sono stati ripresi linea per linea</w:t>
      </w:r>
      <w:r w:rsidR="00D67CBD">
        <w:rPr>
          <w:rFonts w:ascii="Arial" w:hAnsi="Arial" w:cs="Arial"/>
          <w:sz w:val="20"/>
        </w:rPr>
        <w:t xml:space="preserve"> </w:t>
      </w:r>
      <w:r w:rsidR="00D67CBD" w:rsidRPr="00D67CBD">
        <w:rPr>
          <w:rFonts w:ascii="Arial" w:hAnsi="Arial" w:cs="Arial"/>
          <w:sz w:val="20"/>
        </w:rPr>
        <w:t xml:space="preserve">con contestuale eliminazione di tutti i valori inerenti a transazioni tra le </w:t>
      </w:r>
      <w:r w:rsidR="002A4703">
        <w:rPr>
          <w:rFonts w:ascii="Arial" w:hAnsi="Arial" w:cs="Arial"/>
          <w:sz w:val="20"/>
        </w:rPr>
        <w:t>s</w:t>
      </w:r>
      <w:r w:rsidR="00D67CBD" w:rsidRPr="00D67CBD">
        <w:rPr>
          <w:rFonts w:ascii="Arial" w:hAnsi="Arial" w:cs="Arial"/>
          <w:sz w:val="20"/>
        </w:rPr>
        <w:t>ocietà incluse nel perimetro di</w:t>
      </w:r>
      <w:r w:rsidR="00D67CBD">
        <w:rPr>
          <w:rFonts w:ascii="Arial" w:hAnsi="Arial" w:cs="Arial"/>
          <w:sz w:val="20"/>
        </w:rPr>
        <w:t xml:space="preserve"> </w:t>
      </w:r>
      <w:r w:rsidR="00D67CBD" w:rsidRPr="00D67CBD">
        <w:rPr>
          <w:rFonts w:ascii="Arial" w:hAnsi="Arial" w:cs="Arial"/>
          <w:sz w:val="20"/>
        </w:rPr>
        <w:t>consolidamento</w:t>
      </w:r>
      <w:r w:rsidR="00D67CBD">
        <w:rPr>
          <w:rFonts w:ascii="Arial" w:hAnsi="Arial" w:cs="Arial"/>
          <w:sz w:val="20"/>
        </w:rPr>
        <w:t>.</w:t>
      </w:r>
    </w:p>
    <w:p w14:paraId="5D9AC44E" w14:textId="77777777" w:rsidR="00D34F9C" w:rsidRDefault="00D34F9C" w:rsidP="0016593F">
      <w:pPr>
        <w:pStyle w:val="Corpotesto"/>
        <w:widowControl w:val="0"/>
        <w:spacing w:before="120" w:after="120"/>
        <w:rPr>
          <w:rFonts w:ascii="Arial" w:hAnsi="Arial" w:cs="Arial"/>
          <w:sz w:val="20"/>
        </w:rPr>
      </w:pPr>
    </w:p>
    <w:p w14:paraId="1569DE19" w14:textId="77777777" w:rsidR="00EE4AF0" w:rsidRDefault="00EE4AF0" w:rsidP="001223E5">
      <w:pPr>
        <w:pStyle w:val="Titolo6"/>
        <w:shd w:val="clear" w:color="auto" w:fill="F3F3F3"/>
        <w:spacing w:after="120"/>
        <w:rPr>
          <w:rFonts w:ascii="Arial" w:hAnsi="Arial" w:cs="Arial"/>
          <w:sz w:val="20"/>
        </w:rPr>
      </w:pPr>
      <w:r>
        <w:rPr>
          <w:rFonts w:ascii="Arial" w:hAnsi="Arial" w:cs="Arial"/>
          <w:sz w:val="20"/>
        </w:rPr>
        <w:t>Criteri di formazione e struttura di bilancio</w:t>
      </w:r>
    </w:p>
    <w:p w14:paraId="197A1EEE" w14:textId="77777777" w:rsidR="00906387" w:rsidRPr="0008470A" w:rsidRDefault="00674587" w:rsidP="001223E5">
      <w:pPr>
        <w:pStyle w:val="Testots"/>
        <w:spacing w:after="120"/>
        <w:rPr>
          <w:rFonts w:ascii="Arial" w:hAnsi="Arial" w:cs="Arial"/>
          <w:b/>
          <w:snapToGrid w:val="0"/>
          <w:sz w:val="20"/>
        </w:rPr>
      </w:pPr>
      <w:r>
        <w:rPr>
          <w:rFonts w:ascii="Arial" w:hAnsi="Arial" w:cs="Arial"/>
          <w:b/>
          <w:snapToGrid w:val="0"/>
          <w:sz w:val="20"/>
        </w:rPr>
        <w:t>C</w:t>
      </w:r>
      <w:r w:rsidRPr="0008470A">
        <w:rPr>
          <w:rFonts w:ascii="Arial" w:hAnsi="Arial" w:cs="Arial"/>
          <w:b/>
          <w:snapToGrid w:val="0"/>
          <w:sz w:val="20"/>
        </w:rPr>
        <w:t>riteri di formazione</w:t>
      </w:r>
    </w:p>
    <w:p w14:paraId="7D014CA0" w14:textId="77777777" w:rsidR="00920A09" w:rsidRDefault="002D7C09" w:rsidP="001223E5">
      <w:pPr>
        <w:pStyle w:val="Testots"/>
        <w:spacing w:after="120" w:line="240" w:lineRule="auto"/>
        <w:rPr>
          <w:rFonts w:ascii="Arial" w:hAnsi="Arial" w:cs="Arial"/>
          <w:snapToGrid w:val="0"/>
          <w:sz w:val="20"/>
        </w:rPr>
      </w:pPr>
      <w:r w:rsidRPr="00906387">
        <w:rPr>
          <w:rFonts w:ascii="Arial" w:hAnsi="Arial" w:cs="Arial"/>
          <w:snapToGrid w:val="0"/>
          <w:sz w:val="20"/>
        </w:rPr>
        <w:t xml:space="preserve">Il </w:t>
      </w:r>
      <w:r>
        <w:rPr>
          <w:rFonts w:ascii="Arial" w:hAnsi="Arial" w:cs="Arial"/>
          <w:snapToGrid w:val="0"/>
          <w:sz w:val="20"/>
        </w:rPr>
        <w:t xml:space="preserve">presente </w:t>
      </w:r>
      <w:r w:rsidRPr="00906387">
        <w:rPr>
          <w:rFonts w:ascii="Arial" w:hAnsi="Arial" w:cs="Arial"/>
          <w:snapToGrid w:val="0"/>
          <w:sz w:val="20"/>
        </w:rPr>
        <w:t>bilancio consolidato è stato redatto in conformità al dettato dell’art. 29 del D.lgs. 127/91, come risulta dal presente</w:t>
      </w:r>
      <w:r>
        <w:rPr>
          <w:rFonts w:ascii="Arial" w:hAnsi="Arial" w:cs="Arial"/>
          <w:snapToGrid w:val="0"/>
          <w:sz w:val="20"/>
        </w:rPr>
        <w:t xml:space="preserve"> </w:t>
      </w:r>
      <w:r w:rsidRPr="00906387">
        <w:rPr>
          <w:rFonts w:ascii="Arial" w:hAnsi="Arial" w:cs="Arial"/>
          <w:snapToGrid w:val="0"/>
          <w:sz w:val="20"/>
        </w:rPr>
        <w:t>documento, predisposto ai sensi dell’art. 38 dello stesso decreto e, ove necessario, integrato dai</w:t>
      </w:r>
      <w:r>
        <w:rPr>
          <w:rFonts w:ascii="Arial" w:hAnsi="Arial" w:cs="Arial"/>
          <w:snapToGrid w:val="0"/>
          <w:sz w:val="20"/>
        </w:rPr>
        <w:t xml:space="preserve"> </w:t>
      </w:r>
      <w:r w:rsidRPr="00906387">
        <w:rPr>
          <w:rFonts w:ascii="Arial" w:hAnsi="Arial" w:cs="Arial"/>
          <w:snapToGrid w:val="0"/>
          <w:sz w:val="20"/>
        </w:rPr>
        <w:t>principi contabili emanati dall’Or</w:t>
      </w:r>
      <w:r>
        <w:rPr>
          <w:rFonts w:ascii="Arial" w:hAnsi="Arial" w:cs="Arial"/>
          <w:snapToGrid w:val="0"/>
          <w:sz w:val="20"/>
        </w:rPr>
        <w:t>gan</w:t>
      </w:r>
      <w:r w:rsidR="00920A09">
        <w:rPr>
          <w:rFonts w:ascii="Arial" w:hAnsi="Arial" w:cs="Arial"/>
          <w:snapToGrid w:val="0"/>
          <w:sz w:val="20"/>
        </w:rPr>
        <w:t>ismo Italiano di Contabilità nella versione emessa il 22 dicembre 2016.</w:t>
      </w:r>
    </w:p>
    <w:p w14:paraId="35E590DC" w14:textId="77777777" w:rsidR="002D7C09" w:rsidRDefault="00FA14D8" w:rsidP="001223E5">
      <w:pPr>
        <w:pStyle w:val="Testots"/>
        <w:spacing w:after="120" w:line="240" w:lineRule="auto"/>
        <w:rPr>
          <w:rFonts w:ascii="Arial" w:hAnsi="Arial" w:cs="Arial"/>
          <w:snapToGrid w:val="0"/>
          <w:sz w:val="20"/>
        </w:rPr>
      </w:pPr>
      <w:r>
        <w:rPr>
          <w:rFonts w:ascii="Arial" w:hAnsi="Arial" w:cs="Arial"/>
          <w:snapToGrid w:val="0"/>
          <w:sz w:val="20"/>
        </w:rPr>
        <w:t xml:space="preserve">Esso è composto da: </w:t>
      </w:r>
    </w:p>
    <w:p w14:paraId="42F30FC7" w14:textId="77777777" w:rsidR="002D7C09" w:rsidRPr="00D34F9C" w:rsidRDefault="002D7C09" w:rsidP="001223E5">
      <w:pPr>
        <w:pStyle w:val="Testots"/>
        <w:spacing w:after="120" w:line="240" w:lineRule="auto"/>
        <w:ind w:left="567"/>
        <w:rPr>
          <w:rFonts w:ascii="Arial" w:hAnsi="Arial" w:cs="Arial"/>
          <w:snapToGrid w:val="0"/>
          <w:sz w:val="20"/>
        </w:rPr>
      </w:pPr>
      <w:r w:rsidRPr="00D34F9C">
        <w:rPr>
          <w:rFonts w:ascii="Arial" w:hAnsi="Arial" w:cs="Arial"/>
          <w:snapToGrid w:val="0"/>
          <w:sz w:val="20"/>
        </w:rPr>
        <w:t>- Stato patrimoniale, redatto secondo lo schema previsto dall’art 2424 del c.c., integrato</w:t>
      </w:r>
      <w:r w:rsidR="00920A09" w:rsidRPr="00D34F9C">
        <w:rPr>
          <w:rFonts w:ascii="Arial" w:hAnsi="Arial" w:cs="Arial"/>
          <w:snapToGrid w:val="0"/>
          <w:sz w:val="20"/>
        </w:rPr>
        <w:t xml:space="preserve"> dall’art 2424 bis</w:t>
      </w:r>
      <w:r w:rsidRPr="00D34F9C">
        <w:rPr>
          <w:rFonts w:ascii="Arial" w:hAnsi="Arial" w:cs="Arial"/>
          <w:snapToGrid w:val="0"/>
          <w:sz w:val="20"/>
        </w:rPr>
        <w:t xml:space="preserve"> del c.c.;</w:t>
      </w:r>
    </w:p>
    <w:p w14:paraId="01B1268E" w14:textId="77777777" w:rsidR="002D7C09" w:rsidRPr="00D34F9C" w:rsidRDefault="002D7C09" w:rsidP="001223E5">
      <w:pPr>
        <w:pStyle w:val="Testots"/>
        <w:spacing w:after="120" w:line="240" w:lineRule="auto"/>
        <w:ind w:left="567"/>
        <w:rPr>
          <w:rFonts w:ascii="Arial" w:hAnsi="Arial" w:cs="Arial"/>
          <w:snapToGrid w:val="0"/>
          <w:sz w:val="20"/>
        </w:rPr>
      </w:pPr>
      <w:r w:rsidRPr="00D34F9C">
        <w:rPr>
          <w:rFonts w:ascii="Arial" w:hAnsi="Arial" w:cs="Arial"/>
          <w:snapToGrid w:val="0"/>
          <w:sz w:val="20"/>
        </w:rPr>
        <w:t>- Conto economico, redatto secondo lo schema previsto dall’art 2425 del c</w:t>
      </w:r>
      <w:r w:rsidR="00920A09" w:rsidRPr="00D34F9C">
        <w:rPr>
          <w:rFonts w:ascii="Arial" w:hAnsi="Arial" w:cs="Arial"/>
          <w:snapToGrid w:val="0"/>
          <w:sz w:val="20"/>
        </w:rPr>
        <w:t>.c., integrato dall’art 2425 bis</w:t>
      </w:r>
      <w:r w:rsidRPr="00D34F9C">
        <w:rPr>
          <w:rFonts w:ascii="Arial" w:hAnsi="Arial" w:cs="Arial"/>
          <w:snapToGrid w:val="0"/>
          <w:sz w:val="20"/>
        </w:rPr>
        <w:t xml:space="preserve"> del c.c.;</w:t>
      </w:r>
    </w:p>
    <w:p w14:paraId="0420C039" w14:textId="77777777" w:rsidR="00920A09" w:rsidRPr="00D34F9C" w:rsidRDefault="00920A09" w:rsidP="001223E5">
      <w:pPr>
        <w:pStyle w:val="Testots"/>
        <w:spacing w:after="120" w:line="240" w:lineRule="auto"/>
        <w:ind w:left="567"/>
        <w:rPr>
          <w:rFonts w:ascii="Arial" w:hAnsi="Arial" w:cs="Arial"/>
          <w:snapToGrid w:val="0"/>
          <w:sz w:val="20"/>
        </w:rPr>
      </w:pPr>
      <w:r w:rsidRPr="00D34F9C">
        <w:rPr>
          <w:rFonts w:ascii="Arial" w:hAnsi="Arial" w:cs="Arial"/>
          <w:snapToGrid w:val="0"/>
          <w:sz w:val="20"/>
        </w:rPr>
        <w:t>- Rendiconto finanziario, redatto secondo lo schema previsto dall’art. 2425 ter del c.c.</w:t>
      </w:r>
    </w:p>
    <w:p w14:paraId="777B0BBE" w14:textId="77777777" w:rsidR="00B234B0" w:rsidRPr="00D34F9C" w:rsidRDefault="002D7C09" w:rsidP="001223E5">
      <w:pPr>
        <w:pStyle w:val="Testots"/>
        <w:spacing w:after="120" w:line="240" w:lineRule="auto"/>
        <w:ind w:left="567"/>
        <w:rPr>
          <w:rFonts w:ascii="Arial" w:hAnsi="Arial" w:cs="Arial"/>
          <w:snapToGrid w:val="0"/>
          <w:sz w:val="20"/>
        </w:rPr>
      </w:pPr>
      <w:r w:rsidRPr="00D34F9C">
        <w:rPr>
          <w:rFonts w:ascii="Arial" w:hAnsi="Arial" w:cs="Arial"/>
          <w:snapToGrid w:val="0"/>
          <w:sz w:val="20"/>
        </w:rPr>
        <w:t xml:space="preserve">- Nota integrativa, contenente tutte le informazioni previste dall’art 2427 </w:t>
      </w:r>
      <w:r w:rsidR="00B234B0" w:rsidRPr="00D34F9C">
        <w:rPr>
          <w:rFonts w:ascii="Arial" w:hAnsi="Arial" w:cs="Arial"/>
          <w:snapToGrid w:val="0"/>
          <w:sz w:val="20"/>
        </w:rPr>
        <w:t>e 242</w:t>
      </w:r>
      <w:r w:rsidR="00920A09" w:rsidRPr="00D34F9C">
        <w:rPr>
          <w:rFonts w:ascii="Arial" w:hAnsi="Arial" w:cs="Arial"/>
          <w:snapToGrid w:val="0"/>
          <w:sz w:val="20"/>
        </w:rPr>
        <w:t xml:space="preserve">7 bis </w:t>
      </w:r>
      <w:r w:rsidRPr="00D34F9C">
        <w:rPr>
          <w:rFonts w:ascii="Arial" w:hAnsi="Arial" w:cs="Arial"/>
          <w:snapToGrid w:val="0"/>
          <w:sz w:val="20"/>
        </w:rPr>
        <w:t>del c.c. e dagli articoli che allo stesso rinviano. Nella stessa sono state fornite tutte le informazioni complementari indispensabili per la chiara redazione e la veritiera e corretta rappresentazione della situazione patrimoniale e finanziaria e del risultato economico dell’esercizio</w:t>
      </w:r>
      <w:r w:rsidR="00B234B0" w:rsidRPr="00D34F9C">
        <w:rPr>
          <w:rFonts w:ascii="Arial" w:hAnsi="Arial" w:cs="Arial"/>
          <w:snapToGrid w:val="0"/>
          <w:sz w:val="20"/>
        </w:rPr>
        <w:t>.</w:t>
      </w:r>
    </w:p>
    <w:p w14:paraId="467E8255" w14:textId="77777777" w:rsidR="002D7C09" w:rsidRPr="002D7C09" w:rsidRDefault="002D7C09" w:rsidP="00CE6109">
      <w:pPr>
        <w:pStyle w:val="Testots"/>
        <w:spacing w:after="120" w:line="240" w:lineRule="auto"/>
        <w:rPr>
          <w:rFonts w:ascii="Arial" w:hAnsi="Arial" w:cs="Arial"/>
          <w:snapToGrid w:val="0"/>
          <w:sz w:val="20"/>
        </w:rPr>
      </w:pPr>
      <w:r w:rsidRPr="00D34F9C">
        <w:rPr>
          <w:rFonts w:ascii="Arial" w:hAnsi="Arial" w:cs="Arial"/>
          <w:snapToGrid w:val="0"/>
          <w:sz w:val="20"/>
        </w:rPr>
        <w:t xml:space="preserve">Gli importi sono indicati in migliaia di </w:t>
      </w:r>
      <w:r w:rsidR="00662FD0" w:rsidRPr="00D34F9C">
        <w:rPr>
          <w:rFonts w:ascii="Arial" w:hAnsi="Arial" w:cs="Arial"/>
          <w:snapToGrid w:val="0"/>
          <w:sz w:val="20"/>
        </w:rPr>
        <w:t>euro</w:t>
      </w:r>
      <w:r w:rsidRPr="00BC3187">
        <w:rPr>
          <w:rFonts w:ascii="Arial" w:hAnsi="Arial" w:cs="Arial"/>
          <w:snapToGrid w:val="0"/>
          <w:sz w:val="20"/>
        </w:rPr>
        <w:t>.</w:t>
      </w:r>
    </w:p>
    <w:p w14:paraId="7E5ACD6B" w14:textId="77777777" w:rsidR="00B234B0" w:rsidRPr="002D7C09" w:rsidRDefault="00674587" w:rsidP="001223E5">
      <w:pPr>
        <w:pStyle w:val="Testots"/>
        <w:spacing w:after="120" w:line="240" w:lineRule="auto"/>
        <w:rPr>
          <w:rFonts w:ascii="Arial" w:hAnsi="Arial" w:cs="Arial"/>
          <w:b/>
          <w:snapToGrid w:val="0"/>
          <w:sz w:val="20"/>
        </w:rPr>
      </w:pPr>
      <w:r>
        <w:rPr>
          <w:rFonts w:ascii="Arial" w:hAnsi="Arial" w:cs="Arial"/>
          <w:b/>
          <w:snapToGrid w:val="0"/>
          <w:sz w:val="20"/>
        </w:rPr>
        <w:t>P</w:t>
      </w:r>
      <w:r w:rsidRPr="002D7C09">
        <w:rPr>
          <w:rFonts w:ascii="Arial" w:hAnsi="Arial" w:cs="Arial"/>
          <w:b/>
          <w:snapToGrid w:val="0"/>
          <w:sz w:val="20"/>
        </w:rPr>
        <w:t>rincipi di redazione e postulati</w:t>
      </w:r>
    </w:p>
    <w:p w14:paraId="7C877A34" w14:textId="0A9B1BAD" w:rsidR="002D7C09" w:rsidRPr="002D7C09" w:rsidRDefault="002D7C09" w:rsidP="001223E5">
      <w:pPr>
        <w:pStyle w:val="Testots"/>
        <w:spacing w:after="120" w:line="240" w:lineRule="auto"/>
        <w:rPr>
          <w:rFonts w:ascii="Arial" w:hAnsi="Arial" w:cs="Arial"/>
          <w:snapToGrid w:val="0"/>
          <w:sz w:val="20"/>
        </w:rPr>
      </w:pPr>
      <w:r w:rsidRPr="002D7C09">
        <w:rPr>
          <w:rFonts w:ascii="Arial" w:hAnsi="Arial" w:cs="Arial"/>
          <w:snapToGrid w:val="0"/>
          <w:sz w:val="20"/>
        </w:rPr>
        <w:t xml:space="preserve">Nella redazione del presente bilancio sono state osservate ed applicate le norme contemplate dall’articolo 2423 e dall’articolo 2423 bis del Codice Civile (opportunamente integrate da quanto disposto dal </w:t>
      </w:r>
      <w:r w:rsidR="00662FD0" w:rsidRPr="002D7C09">
        <w:rPr>
          <w:rFonts w:ascii="Arial" w:hAnsi="Arial" w:cs="Arial"/>
          <w:snapToGrid w:val="0"/>
          <w:sz w:val="20"/>
        </w:rPr>
        <w:t>Principio OIC</w:t>
      </w:r>
      <w:r w:rsidRPr="002D7C09">
        <w:rPr>
          <w:rFonts w:ascii="Arial" w:hAnsi="Arial" w:cs="Arial"/>
          <w:snapToGrid w:val="0"/>
          <w:sz w:val="20"/>
        </w:rPr>
        <w:t xml:space="preserve"> n. 1), il primo dei quali reca la clausola generale che impone ai redattori del bilancio la rappresentazione veritiera e corretta della gestione aziendale ed il secondo i principi generali di redazione, di seguito, sinteticamente riportati:</w:t>
      </w:r>
    </w:p>
    <w:p w14:paraId="7468124D" w14:textId="77777777" w:rsidR="002D7C09" w:rsidRPr="002D7C09" w:rsidRDefault="002D7C09" w:rsidP="001223E5">
      <w:pPr>
        <w:pStyle w:val="Testots"/>
        <w:spacing w:after="120" w:line="240" w:lineRule="auto"/>
        <w:rPr>
          <w:rFonts w:ascii="Arial" w:hAnsi="Arial" w:cs="Arial"/>
          <w:snapToGrid w:val="0"/>
          <w:sz w:val="20"/>
        </w:rPr>
      </w:pPr>
      <w:r w:rsidRPr="00674587">
        <w:rPr>
          <w:rFonts w:ascii="Arial" w:hAnsi="Arial" w:cs="Arial"/>
          <w:b/>
          <w:snapToGrid w:val="0"/>
          <w:sz w:val="20"/>
          <w:u w:val="single"/>
        </w:rPr>
        <w:t>Chiarezza e comprensibilità</w:t>
      </w:r>
      <w:r w:rsidRPr="00674587">
        <w:rPr>
          <w:rFonts w:ascii="Arial" w:hAnsi="Arial" w:cs="Arial"/>
          <w:snapToGrid w:val="0"/>
          <w:sz w:val="20"/>
          <w:u w:val="single"/>
        </w:rPr>
        <w:t>:</w:t>
      </w:r>
      <w:r w:rsidRPr="002D7C09">
        <w:rPr>
          <w:rFonts w:ascii="Arial" w:hAnsi="Arial" w:cs="Arial"/>
          <w:snapToGrid w:val="0"/>
          <w:sz w:val="20"/>
        </w:rPr>
        <w:t xml:space="preserve"> gli elementi che nel presente bilancio garantiscono comprensibilità ed intelligibilità alle voci indicate sono:</w:t>
      </w:r>
    </w:p>
    <w:p w14:paraId="57930616" w14:textId="77777777" w:rsidR="002D7C09" w:rsidRPr="002D7C09" w:rsidRDefault="002D7C09" w:rsidP="001223E5">
      <w:pPr>
        <w:pStyle w:val="Testots"/>
        <w:spacing w:after="120" w:line="240" w:lineRule="auto"/>
        <w:ind w:left="567"/>
        <w:rPr>
          <w:rFonts w:ascii="Arial" w:hAnsi="Arial" w:cs="Arial"/>
          <w:snapToGrid w:val="0"/>
          <w:sz w:val="20"/>
        </w:rPr>
      </w:pPr>
      <w:r>
        <w:rPr>
          <w:rFonts w:ascii="Arial" w:hAnsi="Arial" w:cs="Arial"/>
          <w:snapToGrid w:val="0"/>
          <w:sz w:val="20"/>
        </w:rPr>
        <w:t xml:space="preserve">- </w:t>
      </w:r>
      <w:r w:rsidRPr="002D7C09">
        <w:rPr>
          <w:rFonts w:ascii="Arial" w:hAnsi="Arial" w:cs="Arial"/>
          <w:snapToGrid w:val="0"/>
          <w:sz w:val="20"/>
        </w:rPr>
        <w:t>la distinta indicazione dei singoli componenti del reddito e del patrimonio classificati in voci omogenee e scevre da compensazioni;</w:t>
      </w:r>
    </w:p>
    <w:p w14:paraId="3E5D6C68" w14:textId="77777777" w:rsidR="002D7C09" w:rsidRPr="002D7C09" w:rsidRDefault="002D7C09" w:rsidP="001223E5">
      <w:pPr>
        <w:pStyle w:val="Testots"/>
        <w:spacing w:after="120" w:line="240" w:lineRule="auto"/>
        <w:ind w:left="567"/>
        <w:rPr>
          <w:rFonts w:ascii="Arial" w:hAnsi="Arial" w:cs="Arial"/>
          <w:snapToGrid w:val="0"/>
          <w:sz w:val="20"/>
        </w:rPr>
      </w:pPr>
      <w:r>
        <w:rPr>
          <w:rFonts w:ascii="Arial" w:hAnsi="Arial" w:cs="Arial"/>
          <w:snapToGrid w:val="0"/>
          <w:sz w:val="20"/>
        </w:rPr>
        <w:t xml:space="preserve">- </w:t>
      </w:r>
      <w:r w:rsidRPr="002D7C09">
        <w:rPr>
          <w:rFonts w:ascii="Arial" w:hAnsi="Arial" w:cs="Arial"/>
          <w:snapToGrid w:val="0"/>
          <w:sz w:val="20"/>
        </w:rPr>
        <w:t>la netta individuazione e distinzione dei componenti ordinari da quelli straordinari “non caratterizzanti” la gestione dell’attività di impresa e il relativo risultato;</w:t>
      </w:r>
    </w:p>
    <w:p w14:paraId="2114B9A2" w14:textId="77777777" w:rsidR="002D7C09" w:rsidRPr="002D7C09" w:rsidRDefault="002D7C09" w:rsidP="001223E5">
      <w:pPr>
        <w:pStyle w:val="Testots"/>
        <w:spacing w:after="120" w:line="240" w:lineRule="auto"/>
        <w:ind w:left="567"/>
        <w:rPr>
          <w:rFonts w:ascii="Arial" w:hAnsi="Arial" w:cs="Arial"/>
          <w:snapToGrid w:val="0"/>
          <w:sz w:val="20"/>
        </w:rPr>
      </w:pPr>
      <w:r>
        <w:rPr>
          <w:rFonts w:ascii="Arial" w:hAnsi="Arial" w:cs="Arial"/>
          <w:snapToGrid w:val="0"/>
          <w:sz w:val="20"/>
        </w:rPr>
        <w:t xml:space="preserve">- </w:t>
      </w:r>
      <w:r w:rsidRPr="002D7C09">
        <w:rPr>
          <w:rFonts w:ascii="Arial" w:hAnsi="Arial" w:cs="Arial"/>
          <w:snapToGrid w:val="0"/>
          <w:sz w:val="20"/>
        </w:rPr>
        <w:t>la separata classificazione dei costi e ricavi della “gestione tipica” dagli altri costi e ricavi di esercizio.</w:t>
      </w:r>
    </w:p>
    <w:p w14:paraId="33224C40" w14:textId="77777777" w:rsidR="002D7C09" w:rsidRPr="002D7C09" w:rsidRDefault="002D7C09" w:rsidP="001223E5">
      <w:pPr>
        <w:pStyle w:val="Testots"/>
        <w:spacing w:after="120" w:line="240" w:lineRule="auto"/>
        <w:rPr>
          <w:rFonts w:ascii="Arial" w:hAnsi="Arial" w:cs="Arial"/>
          <w:snapToGrid w:val="0"/>
          <w:sz w:val="20"/>
        </w:rPr>
      </w:pPr>
      <w:r w:rsidRPr="00674587">
        <w:rPr>
          <w:rFonts w:ascii="Arial" w:hAnsi="Arial" w:cs="Arial"/>
          <w:b/>
          <w:snapToGrid w:val="0"/>
          <w:sz w:val="20"/>
          <w:u w:val="single"/>
        </w:rPr>
        <w:t>Neutralità:</w:t>
      </w:r>
      <w:r w:rsidRPr="002D7C09">
        <w:rPr>
          <w:rFonts w:ascii="Arial" w:hAnsi="Arial" w:cs="Arial"/>
          <w:snapToGrid w:val="0"/>
          <w:sz w:val="20"/>
        </w:rPr>
        <w:t xml:space="preserve"> il procedimento formativo del presente documento, nonché i processi di previsione e valutazione che implicano l’intervento di elementi soggettivi di stima non inficiano l’imparzialità, la ragionevolezza e la verificabilità dei valori computati e come tali iscritti.</w:t>
      </w:r>
    </w:p>
    <w:p w14:paraId="45D40945" w14:textId="77777777" w:rsidR="002D7C09" w:rsidRPr="002D7C09" w:rsidRDefault="002D7C09" w:rsidP="001223E5">
      <w:pPr>
        <w:pStyle w:val="Testots"/>
        <w:spacing w:after="120" w:line="240" w:lineRule="auto"/>
        <w:rPr>
          <w:rFonts w:ascii="Arial" w:hAnsi="Arial" w:cs="Arial"/>
          <w:snapToGrid w:val="0"/>
          <w:sz w:val="20"/>
        </w:rPr>
      </w:pPr>
      <w:r w:rsidRPr="00674587">
        <w:rPr>
          <w:rFonts w:ascii="Arial" w:hAnsi="Arial" w:cs="Arial"/>
          <w:b/>
          <w:snapToGrid w:val="0"/>
          <w:sz w:val="20"/>
          <w:u w:val="single"/>
        </w:rPr>
        <w:t>Prudenza:</w:t>
      </w:r>
      <w:r w:rsidRPr="002D7C09">
        <w:rPr>
          <w:rFonts w:ascii="Arial" w:hAnsi="Arial" w:cs="Arial"/>
          <w:snapToGrid w:val="0"/>
          <w:sz w:val="20"/>
        </w:rPr>
        <w:t xml:space="preserve"> sono stati rilevati ed esposti in bilancio i ricavi conseguiti e i costi sostenuti, nonché quelli presunti e/o probabili.  Al principio contabile n. 19 e allo IAS 37, principio internazionale ad esso congiunto,  si è informato il procedimento valutativo delle incertezze e rischi connessi con l’andamento operativo aziendale, affinché fossero assicurati ragionevoli stanziamenti in previsione di perdite potenziali e passività reali ritenute esistenti alla data di chiusura del presente </w:t>
      </w:r>
      <w:r w:rsidRPr="002D7C09">
        <w:rPr>
          <w:rFonts w:ascii="Arial" w:hAnsi="Arial" w:cs="Arial"/>
          <w:snapToGrid w:val="0"/>
          <w:sz w:val="20"/>
        </w:rPr>
        <w:lastRenderedPageBreak/>
        <w:t>bilancio, nel pieno rispetto delle regole di competenza economica, veridicità e correttezza nella rappresentazione degli eventi aziendali (principio di asimmetria dei componenti reddituali).</w:t>
      </w:r>
    </w:p>
    <w:p w14:paraId="7274639F" w14:textId="77777777" w:rsidR="002D7C09" w:rsidRPr="002D7C09" w:rsidRDefault="00662FD0" w:rsidP="001223E5">
      <w:pPr>
        <w:pStyle w:val="Testots"/>
        <w:spacing w:after="120" w:line="240" w:lineRule="auto"/>
        <w:rPr>
          <w:rFonts w:ascii="Arial" w:hAnsi="Arial" w:cs="Arial"/>
          <w:snapToGrid w:val="0"/>
          <w:sz w:val="20"/>
        </w:rPr>
      </w:pPr>
      <w:r w:rsidRPr="00674587">
        <w:rPr>
          <w:rFonts w:ascii="Arial" w:hAnsi="Arial" w:cs="Arial"/>
          <w:b/>
          <w:snapToGrid w:val="0"/>
          <w:sz w:val="20"/>
          <w:u w:val="single"/>
        </w:rPr>
        <w:t xml:space="preserve">Continuità </w:t>
      </w:r>
      <w:r w:rsidRPr="002D7C09">
        <w:rPr>
          <w:rFonts w:ascii="Arial" w:hAnsi="Arial" w:cs="Arial"/>
          <w:snapToGrid w:val="0"/>
          <w:sz w:val="20"/>
        </w:rPr>
        <w:t>o</w:t>
      </w:r>
      <w:r w:rsidR="002D7C09" w:rsidRPr="002D7C09">
        <w:rPr>
          <w:rFonts w:ascii="Arial" w:hAnsi="Arial" w:cs="Arial"/>
          <w:snapToGrid w:val="0"/>
          <w:sz w:val="20"/>
        </w:rPr>
        <w:t xml:space="preserve"> going concern nella gestione e nell’applicaz</w:t>
      </w:r>
      <w:r w:rsidR="00D34F9C">
        <w:rPr>
          <w:rFonts w:ascii="Arial" w:hAnsi="Arial" w:cs="Arial"/>
          <w:snapToGrid w:val="0"/>
          <w:sz w:val="20"/>
        </w:rPr>
        <w:t>ione dei criteri di valutazione così come illustrato in precedenza.</w:t>
      </w:r>
    </w:p>
    <w:p w14:paraId="761EB681" w14:textId="77777777" w:rsidR="002D7C09" w:rsidRPr="002D7C09" w:rsidRDefault="002D7C09" w:rsidP="001223E5">
      <w:pPr>
        <w:pStyle w:val="Testots"/>
        <w:spacing w:after="120" w:line="240" w:lineRule="auto"/>
        <w:rPr>
          <w:rFonts w:ascii="Arial" w:hAnsi="Arial" w:cs="Arial"/>
          <w:snapToGrid w:val="0"/>
          <w:sz w:val="20"/>
        </w:rPr>
      </w:pPr>
      <w:r w:rsidRPr="00674587">
        <w:rPr>
          <w:rFonts w:ascii="Arial" w:hAnsi="Arial" w:cs="Arial"/>
          <w:b/>
          <w:snapToGrid w:val="0"/>
          <w:sz w:val="20"/>
          <w:u w:val="single"/>
        </w:rPr>
        <w:t>Competenza</w:t>
      </w:r>
      <w:r w:rsidRPr="00674587">
        <w:rPr>
          <w:rFonts w:ascii="Arial" w:hAnsi="Arial" w:cs="Arial"/>
          <w:snapToGrid w:val="0"/>
          <w:sz w:val="20"/>
          <w:u w:val="single"/>
        </w:rPr>
        <w:t>:</w:t>
      </w:r>
      <w:r w:rsidRPr="002D7C09">
        <w:rPr>
          <w:rFonts w:ascii="Arial" w:hAnsi="Arial" w:cs="Arial"/>
          <w:snapToGrid w:val="0"/>
          <w:sz w:val="20"/>
        </w:rPr>
        <w:t xml:space="preserve"> l’effetto delle operazioni e degli eventi gestionali in termini di ricavi e costi è stato rilevato contabilmente ed attribuito all’esercizio in chiusura durante il quale gli stessi hanno assunto economica certezza e non già manifestazione monetaria, nel rispetto del principio della realizzazione (realisation </w:t>
      </w:r>
      <w:r w:rsidR="00EE14DE" w:rsidRPr="002D7C09">
        <w:rPr>
          <w:rFonts w:ascii="Arial" w:hAnsi="Arial" w:cs="Arial"/>
          <w:snapToGrid w:val="0"/>
          <w:sz w:val="20"/>
        </w:rPr>
        <w:t>principale</w:t>
      </w:r>
      <w:r w:rsidRPr="002D7C09">
        <w:rPr>
          <w:rFonts w:ascii="Arial" w:hAnsi="Arial" w:cs="Arial"/>
          <w:snapToGrid w:val="0"/>
          <w:sz w:val="20"/>
        </w:rPr>
        <w:t xml:space="preserve">) e della correlazione (matching </w:t>
      </w:r>
      <w:r w:rsidR="00EE14DE" w:rsidRPr="002D7C09">
        <w:rPr>
          <w:rFonts w:ascii="Arial" w:hAnsi="Arial" w:cs="Arial"/>
          <w:snapToGrid w:val="0"/>
          <w:sz w:val="20"/>
        </w:rPr>
        <w:t>principale</w:t>
      </w:r>
      <w:r w:rsidRPr="002D7C09">
        <w:rPr>
          <w:rFonts w:ascii="Arial" w:hAnsi="Arial" w:cs="Arial"/>
          <w:snapToGrid w:val="0"/>
          <w:sz w:val="20"/>
        </w:rPr>
        <w:t>).</w:t>
      </w:r>
    </w:p>
    <w:p w14:paraId="134C7ADC" w14:textId="77777777" w:rsidR="002D7C09" w:rsidRPr="002D7C09" w:rsidRDefault="002D7C09" w:rsidP="001223E5">
      <w:pPr>
        <w:pStyle w:val="Testots"/>
        <w:spacing w:after="120" w:line="240" w:lineRule="auto"/>
        <w:rPr>
          <w:rFonts w:ascii="Arial" w:hAnsi="Arial" w:cs="Arial"/>
          <w:snapToGrid w:val="0"/>
          <w:sz w:val="20"/>
        </w:rPr>
      </w:pPr>
      <w:r w:rsidRPr="002D7C09">
        <w:rPr>
          <w:rFonts w:ascii="Arial" w:hAnsi="Arial" w:cs="Arial"/>
          <w:snapToGrid w:val="0"/>
          <w:sz w:val="20"/>
        </w:rPr>
        <w:t xml:space="preserve">Per garantire la comparabilità dei dati esposti nel presente bilancio con quelli del precedente esercizio, i criteri di valutazione non sono stati modificati; di eventuali deroghe se n’è data menzione nella presente nota integrativa.  </w:t>
      </w:r>
    </w:p>
    <w:p w14:paraId="78121778" w14:textId="77777777" w:rsidR="002D7C09" w:rsidRPr="002D7C09" w:rsidRDefault="002D7C09" w:rsidP="001223E5">
      <w:pPr>
        <w:pStyle w:val="Testots"/>
        <w:spacing w:after="120" w:line="240" w:lineRule="auto"/>
        <w:rPr>
          <w:rFonts w:ascii="Arial" w:hAnsi="Arial" w:cs="Arial"/>
          <w:snapToGrid w:val="0"/>
          <w:sz w:val="20"/>
        </w:rPr>
      </w:pPr>
      <w:r w:rsidRPr="00674587">
        <w:rPr>
          <w:rFonts w:ascii="Arial" w:hAnsi="Arial" w:cs="Arial"/>
          <w:b/>
          <w:snapToGrid w:val="0"/>
          <w:sz w:val="20"/>
          <w:u w:val="single"/>
        </w:rPr>
        <w:t>Prevalenza degli aspetti sostanziali su quelli formali</w:t>
      </w:r>
      <w:r w:rsidRPr="00674587">
        <w:rPr>
          <w:rFonts w:ascii="Arial" w:hAnsi="Arial" w:cs="Arial"/>
          <w:snapToGrid w:val="0"/>
          <w:sz w:val="20"/>
          <w:u w:val="single"/>
        </w:rPr>
        <w:t>:</w:t>
      </w:r>
      <w:r w:rsidRPr="002D7C09">
        <w:rPr>
          <w:rFonts w:ascii="Arial" w:hAnsi="Arial" w:cs="Arial"/>
          <w:snapToGrid w:val="0"/>
          <w:sz w:val="20"/>
        </w:rPr>
        <w:t xml:space="preserve"> nel nuovo articolo 2423 bis c.c., comma 1, n. 1, dopo aver precisato che la valutazione delle poste di bilancio deve essere effettuata nel rispetto del principio di prudenza e continuità di impresa (going concern), la riforma ha introdotto l’ulteriore obbligo di “evidenziare la funzione economica degli elementi di attivo e passivo considerati”  in linea, comunque, con il principio contabile n. 1 e con il postulato della prevalenza della sostanza sulla forma.</w:t>
      </w:r>
    </w:p>
    <w:p w14:paraId="691B56B8" w14:textId="77777777" w:rsidR="002D7C09" w:rsidRPr="002D7C09" w:rsidRDefault="002D7C09" w:rsidP="001223E5">
      <w:pPr>
        <w:pStyle w:val="Testots"/>
        <w:spacing w:after="120" w:line="240" w:lineRule="auto"/>
        <w:rPr>
          <w:rFonts w:ascii="Arial" w:hAnsi="Arial" w:cs="Arial"/>
          <w:snapToGrid w:val="0"/>
          <w:sz w:val="20"/>
        </w:rPr>
      </w:pPr>
      <w:r w:rsidRPr="002D7C09">
        <w:rPr>
          <w:rFonts w:ascii="Arial" w:hAnsi="Arial" w:cs="Arial"/>
          <w:snapToGrid w:val="0"/>
          <w:sz w:val="20"/>
        </w:rPr>
        <w:t xml:space="preserve">Pertanto, per tutte le operazioni ed eventi di gestione, laddove necessario, sono state individuate non solo le caratteristiche formali e giuridiche dell’evento isolato, ma soprattutto, se differenti e ove possibile, quelle relative agli accadimenti ed operazioni ad esso correlate o correlabili e ai relativi effetti economici il cui insieme concorra “tout court” a determinare l’unitarietà dell’operazione negli aspetti sostanziali e come tale valutata, contabilizzata ed esposta in bilancio. </w:t>
      </w:r>
    </w:p>
    <w:p w14:paraId="58DAC20F" w14:textId="363C38D2" w:rsidR="00906387" w:rsidRPr="00906387" w:rsidRDefault="00906387" w:rsidP="001223E5">
      <w:pPr>
        <w:pStyle w:val="Testots"/>
        <w:spacing w:after="120" w:line="240" w:lineRule="auto"/>
        <w:rPr>
          <w:rFonts w:ascii="Arial" w:hAnsi="Arial" w:cs="Arial"/>
          <w:snapToGrid w:val="0"/>
          <w:sz w:val="20"/>
        </w:rPr>
      </w:pPr>
      <w:r w:rsidRPr="00422401">
        <w:rPr>
          <w:rFonts w:ascii="Arial" w:hAnsi="Arial" w:cs="Arial"/>
          <w:snapToGrid w:val="0"/>
          <w:sz w:val="20"/>
        </w:rPr>
        <w:t xml:space="preserve">Il bilancio consolidato è corredato dalla relazione sulla gestione ove sono riportate, tra le altre, le informazioni in merito alla natura e attività dell’impresa, ai fatti di rilievo avvenuti dopo la chiusura dell’esercizio e ai rapporti in essere tra le </w:t>
      </w:r>
      <w:r w:rsidR="002A4703">
        <w:rPr>
          <w:rFonts w:ascii="Arial" w:hAnsi="Arial" w:cs="Arial"/>
          <w:snapToGrid w:val="0"/>
          <w:sz w:val="20"/>
        </w:rPr>
        <w:t>s</w:t>
      </w:r>
      <w:r w:rsidRPr="00422401">
        <w:rPr>
          <w:rFonts w:ascii="Arial" w:hAnsi="Arial" w:cs="Arial"/>
          <w:snapToGrid w:val="0"/>
          <w:sz w:val="20"/>
        </w:rPr>
        <w:t>ocietà del Gruppo.</w:t>
      </w:r>
    </w:p>
    <w:p w14:paraId="5B53A4E5" w14:textId="77777777" w:rsidR="00EE4AF0" w:rsidRDefault="00906387" w:rsidP="001223E5">
      <w:pPr>
        <w:pStyle w:val="Testots"/>
        <w:spacing w:after="120" w:line="240" w:lineRule="auto"/>
        <w:rPr>
          <w:rFonts w:ascii="Arial" w:hAnsi="Arial" w:cs="Arial"/>
          <w:snapToGrid w:val="0"/>
          <w:sz w:val="20"/>
        </w:rPr>
      </w:pPr>
      <w:r w:rsidRPr="00906387">
        <w:rPr>
          <w:rFonts w:ascii="Arial" w:hAnsi="Arial" w:cs="Arial"/>
          <w:snapToGrid w:val="0"/>
          <w:sz w:val="20"/>
        </w:rPr>
        <w:t>Si precisa che i prospetti di Stato Patrimoniale e Conto Economico nonché quelli della presente Nota</w:t>
      </w:r>
      <w:r>
        <w:rPr>
          <w:rFonts w:ascii="Arial" w:hAnsi="Arial" w:cs="Arial"/>
          <w:snapToGrid w:val="0"/>
          <w:sz w:val="20"/>
        </w:rPr>
        <w:t xml:space="preserve"> </w:t>
      </w:r>
      <w:r w:rsidRPr="00906387">
        <w:rPr>
          <w:rFonts w:ascii="Arial" w:hAnsi="Arial" w:cs="Arial"/>
          <w:snapToGrid w:val="0"/>
          <w:sz w:val="20"/>
        </w:rPr>
        <w:t>Integrati</w:t>
      </w:r>
      <w:r w:rsidR="00875DAE">
        <w:rPr>
          <w:rFonts w:ascii="Arial" w:hAnsi="Arial" w:cs="Arial"/>
          <w:snapToGrid w:val="0"/>
          <w:sz w:val="20"/>
        </w:rPr>
        <w:t xml:space="preserve">va sono esposti in migliaia di </w:t>
      </w:r>
      <w:r w:rsidR="00662FD0">
        <w:rPr>
          <w:rFonts w:ascii="Arial" w:hAnsi="Arial" w:cs="Arial"/>
          <w:snapToGrid w:val="0"/>
          <w:sz w:val="20"/>
        </w:rPr>
        <w:t>euro</w:t>
      </w:r>
      <w:r w:rsidRPr="00906387">
        <w:rPr>
          <w:rFonts w:ascii="Arial" w:hAnsi="Arial" w:cs="Arial"/>
          <w:snapToGrid w:val="0"/>
          <w:sz w:val="20"/>
        </w:rPr>
        <w:t>.</w:t>
      </w:r>
    </w:p>
    <w:p w14:paraId="32E9D12A" w14:textId="77777777" w:rsidR="00EE4AF0" w:rsidRDefault="00EE4AF0" w:rsidP="001223E5">
      <w:pPr>
        <w:widowControl w:val="0"/>
        <w:shd w:val="clear" w:color="auto" w:fill="F3F3F3"/>
        <w:tabs>
          <w:tab w:val="left" w:pos="7766"/>
        </w:tabs>
        <w:rPr>
          <w:rFonts w:ascii="Arial" w:hAnsi="Arial" w:cs="Arial"/>
          <w:b/>
          <w:snapToGrid w:val="0"/>
          <w:sz w:val="20"/>
        </w:rPr>
      </w:pPr>
      <w:r>
        <w:rPr>
          <w:rFonts w:ascii="Arial" w:hAnsi="Arial" w:cs="Arial"/>
          <w:b/>
          <w:snapToGrid w:val="0"/>
          <w:sz w:val="20"/>
        </w:rPr>
        <w:t>1. Criteri di v</w:t>
      </w:r>
      <w:r w:rsidR="00D80507">
        <w:rPr>
          <w:rFonts w:ascii="Arial" w:hAnsi="Arial" w:cs="Arial"/>
          <w:b/>
          <w:snapToGrid w:val="0"/>
          <w:sz w:val="20"/>
        </w:rPr>
        <w:t>alutazione</w:t>
      </w:r>
    </w:p>
    <w:p w14:paraId="4F0A0848" w14:textId="77777777" w:rsidR="00B234B0" w:rsidRDefault="00FA14D8" w:rsidP="001223E5">
      <w:pPr>
        <w:widowControl w:val="0"/>
        <w:tabs>
          <w:tab w:val="left" w:pos="1620"/>
          <w:tab w:val="left" w:pos="5147"/>
        </w:tabs>
        <w:spacing w:before="120"/>
        <w:jc w:val="both"/>
        <w:rPr>
          <w:rFonts w:ascii="Arial" w:hAnsi="Arial" w:cs="Arial"/>
          <w:snapToGrid w:val="0"/>
          <w:sz w:val="20"/>
        </w:rPr>
      </w:pPr>
      <w:r w:rsidRPr="00D34F9C">
        <w:rPr>
          <w:rFonts w:ascii="Arial" w:hAnsi="Arial" w:cs="Arial"/>
          <w:snapToGrid w:val="0"/>
          <w:sz w:val="20"/>
        </w:rPr>
        <w:t xml:space="preserve">I criteri di valutazione adottati sono conformi alle disposizioni del </w:t>
      </w:r>
      <w:r w:rsidR="00662FD0" w:rsidRPr="00D34F9C">
        <w:rPr>
          <w:rFonts w:ascii="Arial" w:hAnsi="Arial" w:cs="Arial"/>
          <w:snapToGrid w:val="0"/>
          <w:sz w:val="20"/>
        </w:rPr>
        <w:t>Codice civile</w:t>
      </w:r>
      <w:r w:rsidRPr="00D34F9C">
        <w:rPr>
          <w:rFonts w:ascii="Arial" w:hAnsi="Arial" w:cs="Arial"/>
          <w:snapToGrid w:val="0"/>
          <w:sz w:val="20"/>
        </w:rPr>
        <w:t xml:space="preserve"> previste dagli articoli 2423 e seguenti,</w:t>
      </w:r>
      <w:r w:rsidR="00B234B0" w:rsidRPr="00D34F9C">
        <w:rPr>
          <w:rFonts w:ascii="Arial" w:hAnsi="Arial" w:cs="Arial"/>
          <w:snapToGrid w:val="0"/>
          <w:sz w:val="20"/>
        </w:rPr>
        <w:t xml:space="preserve"> così come modificati</w:t>
      </w:r>
      <w:r w:rsidRPr="00D34F9C">
        <w:rPr>
          <w:rFonts w:ascii="Arial" w:hAnsi="Arial" w:cs="Arial"/>
          <w:snapToGrid w:val="0"/>
          <w:sz w:val="20"/>
        </w:rPr>
        <w:t xml:space="preserve"> </w:t>
      </w:r>
      <w:r w:rsidR="00B234B0" w:rsidRPr="00D34F9C">
        <w:rPr>
          <w:rFonts w:ascii="Arial" w:hAnsi="Arial" w:cs="Arial"/>
          <w:snapToGrid w:val="0"/>
          <w:sz w:val="20"/>
        </w:rPr>
        <w:t xml:space="preserve">e integrati dal D.lgs 139/2015 che ha recepito in Italia la Direttiva contabile 34/2013/UE. </w:t>
      </w:r>
      <w:r w:rsidR="00662FD0" w:rsidRPr="00D34F9C">
        <w:rPr>
          <w:rFonts w:ascii="Arial" w:hAnsi="Arial" w:cs="Arial"/>
          <w:snapToGrid w:val="0"/>
          <w:sz w:val="20"/>
        </w:rPr>
        <w:t>In particolare,</w:t>
      </w:r>
      <w:r w:rsidR="00B234B0" w:rsidRPr="00D34F9C">
        <w:rPr>
          <w:rFonts w:ascii="Arial" w:hAnsi="Arial" w:cs="Arial"/>
          <w:snapToGrid w:val="0"/>
          <w:sz w:val="20"/>
        </w:rPr>
        <w:t xml:space="preserve"> </w:t>
      </w:r>
      <w:r w:rsidR="00B234B0">
        <w:rPr>
          <w:rFonts w:ascii="Arial" w:hAnsi="Arial" w:cs="Arial"/>
          <w:snapToGrid w:val="0"/>
          <w:sz w:val="20"/>
        </w:rPr>
        <w:t>i principi contabili nazionali sono stati riformulati dall’OIC nella versione emessa il 22 dicembre 2016.</w:t>
      </w:r>
    </w:p>
    <w:p w14:paraId="4EEC8BB2" w14:textId="77777777" w:rsidR="00EE4AF0" w:rsidRDefault="00234564" w:rsidP="001223E5">
      <w:pPr>
        <w:widowControl w:val="0"/>
        <w:tabs>
          <w:tab w:val="left" w:pos="1620"/>
          <w:tab w:val="left" w:pos="5147"/>
        </w:tabs>
        <w:spacing w:before="120"/>
        <w:jc w:val="both"/>
        <w:rPr>
          <w:rFonts w:ascii="Arial" w:hAnsi="Arial" w:cs="Arial"/>
          <w:snapToGrid w:val="0"/>
          <w:sz w:val="20"/>
        </w:rPr>
      </w:pPr>
      <w:r>
        <w:rPr>
          <w:rFonts w:ascii="Arial" w:hAnsi="Arial" w:cs="Arial"/>
          <w:snapToGrid w:val="0"/>
          <w:sz w:val="20"/>
        </w:rPr>
        <w:t>Pertanto,</w:t>
      </w:r>
      <w:r w:rsidR="00D80507">
        <w:rPr>
          <w:rFonts w:ascii="Arial" w:hAnsi="Arial" w:cs="Arial"/>
          <w:snapToGrid w:val="0"/>
          <w:sz w:val="20"/>
        </w:rPr>
        <w:t xml:space="preserve"> </w:t>
      </w:r>
      <w:r w:rsidR="00E45D0B">
        <w:rPr>
          <w:rFonts w:ascii="Arial" w:hAnsi="Arial" w:cs="Arial"/>
          <w:snapToGrid w:val="0"/>
          <w:sz w:val="20"/>
        </w:rPr>
        <w:t>i</w:t>
      </w:r>
      <w:r w:rsidR="00EE4AF0">
        <w:rPr>
          <w:rFonts w:ascii="Arial" w:hAnsi="Arial" w:cs="Arial"/>
          <w:snapToGrid w:val="0"/>
          <w:sz w:val="20"/>
        </w:rPr>
        <w:t xml:space="preserve"> criteri utilizzati nella formazione del bilancio e nella valutazione delle voci di detta situazione sono ispirati a criteri generali di prudenza e competenza, nella prospettiva della </w:t>
      </w:r>
      <w:r w:rsidR="002C2409">
        <w:rPr>
          <w:rFonts w:ascii="Arial" w:hAnsi="Arial" w:cs="Arial"/>
          <w:snapToGrid w:val="0"/>
          <w:sz w:val="20"/>
        </w:rPr>
        <w:t>continuità di impresa</w:t>
      </w:r>
      <w:r w:rsidR="008F4879">
        <w:rPr>
          <w:rFonts w:ascii="Arial" w:hAnsi="Arial" w:cs="Arial"/>
          <w:snapToGrid w:val="0"/>
          <w:sz w:val="20"/>
        </w:rPr>
        <w:t xml:space="preserve"> o “going </w:t>
      </w:r>
      <w:r w:rsidR="00662FD0">
        <w:rPr>
          <w:rFonts w:ascii="Arial" w:hAnsi="Arial" w:cs="Arial"/>
          <w:snapToGrid w:val="0"/>
          <w:sz w:val="20"/>
        </w:rPr>
        <w:t>concern” e</w:t>
      </w:r>
      <w:r w:rsidR="00EE4AF0">
        <w:rPr>
          <w:rFonts w:ascii="Arial" w:hAnsi="Arial" w:cs="Arial"/>
          <w:snapToGrid w:val="0"/>
          <w:sz w:val="20"/>
        </w:rPr>
        <w:t xml:space="preserve"> tenendo conto della funzione economica di ciascuno degli elementi dell’attivo e del passivo.</w:t>
      </w:r>
    </w:p>
    <w:p w14:paraId="63B807D3" w14:textId="77777777" w:rsidR="00EE4AF0" w:rsidRDefault="00EE4AF0" w:rsidP="001223E5">
      <w:pPr>
        <w:widowControl w:val="0"/>
        <w:tabs>
          <w:tab w:val="left" w:pos="1620"/>
          <w:tab w:val="left" w:pos="5147"/>
        </w:tabs>
        <w:spacing w:before="120" w:after="120"/>
        <w:jc w:val="both"/>
        <w:rPr>
          <w:rFonts w:ascii="Arial" w:hAnsi="Arial" w:cs="Arial"/>
          <w:snapToGrid w:val="0"/>
          <w:sz w:val="20"/>
        </w:rPr>
      </w:pPr>
      <w:r>
        <w:rPr>
          <w:rFonts w:ascii="Arial" w:hAnsi="Arial" w:cs="Arial"/>
          <w:snapToGrid w:val="0"/>
          <w:sz w:val="20"/>
        </w:rPr>
        <w:t>L’applicazione del principio di prudenza ha comportato la valutazione individuale degli elementi componenti le singole poste o voci delle attività o passività, per evitare compensi tra perdite che dovevano essere riconosciute e profitti da non riconoscere in quanto non realizzati.</w:t>
      </w:r>
    </w:p>
    <w:p w14:paraId="26111387" w14:textId="77777777" w:rsidR="008B1740" w:rsidRDefault="00EE4AF0" w:rsidP="008B1740">
      <w:pPr>
        <w:widowControl w:val="0"/>
        <w:tabs>
          <w:tab w:val="left" w:pos="1620"/>
          <w:tab w:val="left" w:pos="5147"/>
        </w:tabs>
        <w:spacing w:before="120" w:after="120"/>
        <w:jc w:val="both"/>
        <w:rPr>
          <w:rFonts w:ascii="Arial" w:hAnsi="Arial" w:cs="Arial"/>
          <w:snapToGrid w:val="0"/>
          <w:sz w:val="20"/>
        </w:rPr>
      </w:pPr>
      <w:r>
        <w:rPr>
          <w:rFonts w:ascii="Arial" w:hAnsi="Arial" w:cs="Arial"/>
          <w:snapToGrid w:val="0"/>
          <w:sz w:val="20"/>
        </w:rPr>
        <w:t>In ottemperanza al principio di competenza, l’effetto delle operazioni e degli altri eventi è stato rilevato contabilmente ed attribuito al periodo al quale tali operazioni ed eventi si riferiscono, e non a quello in cui si concretizzano i relativi movimenti di numerario (incassi e pagamenti).</w:t>
      </w:r>
    </w:p>
    <w:p w14:paraId="7826EEC4" w14:textId="77777777" w:rsidR="00AC7969" w:rsidRPr="00DD6555" w:rsidRDefault="00AC7969" w:rsidP="008B1740">
      <w:pPr>
        <w:widowControl w:val="0"/>
        <w:tabs>
          <w:tab w:val="left" w:pos="1620"/>
          <w:tab w:val="left" w:pos="5147"/>
        </w:tabs>
        <w:spacing w:before="120" w:after="120"/>
        <w:jc w:val="both"/>
        <w:rPr>
          <w:rFonts w:ascii="Arial" w:hAnsi="Arial" w:cs="Arial"/>
          <w:sz w:val="20"/>
          <w:szCs w:val="20"/>
        </w:rPr>
      </w:pPr>
      <w:r>
        <w:rPr>
          <w:rFonts w:ascii="Arial" w:hAnsi="Arial" w:cs="Arial"/>
          <w:sz w:val="20"/>
          <w:szCs w:val="20"/>
        </w:rPr>
        <w:t>G</w:t>
      </w:r>
      <w:r w:rsidR="00DD6555" w:rsidRPr="00DD6555">
        <w:rPr>
          <w:rFonts w:ascii="Arial" w:hAnsi="Arial" w:cs="Arial"/>
          <w:sz w:val="20"/>
          <w:szCs w:val="20"/>
        </w:rPr>
        <w:t xml:space="preserve">li effetti rinvenienti dall’applicazione dei nuovi principi sopra riportati </w:t>
      </w:r>
      <w:r>
        <w:rPr>
          <w:rFonts w:ascii="Arial" w:hAnsi="Arial" w:cs="Arial"/>
          <w:sz w:val="20"/>
          <w:szCs w:val="20"/>
        </w:rPr>
        <w:t>hanno trovato già formale collocazione ed esposizione nel bilancio 2016.</w:t>
      </w:r>
    </w:p>
    <w:p w14:paraId="08A2D569" w14:textId="30E5A513" w:rsidR="0084790A" w:rsidRPr="008F4879" w:rsidRDefault="00DD6555" w:rsidP="001223E5">
      <w:pPr>
        <w:widowControl w:val="0"/>
        <w:tabs>
          <w:tab w:val="left" w:pos="1620"/>
          <w:tab w:val="left" w:pos="5147"/>
        </w:tabs>
        <w:spacing w:before="120" w:after="120"/>
        <w:jc w:val="both"/>
        <w:rPr>
          <w:rFonts w:ascii="Arial" w:hAnsi="Arial" w:cs="Arial"/>
          <w:snapToGrid w:val="0"/>
          <w:sz w:val="20"/>
        </w:rPr>
      </w:pPr>
      <w:r w:rsidRPr="00DD6555">
        <w:rPr>
          <w:rFonts w:ascii="Arial" w:hAnsi="Arial" w:cs="Arial"/>
          <w:snapToGrid w:val="0"/>
          <w:sz w:val="20"/>
          <w:szCs w:val="20"/>
        </w:rPr>
        <w:t>Per quanto riguarda l’applicazione dei nuovi principi contabili si precisa che la società</w:t>
      </w:r>
      <w:r w:rsidR="002A4703">
        <w:rPr>
          <w:rFonts w:ascii="Arial" w:hAnsi="Arial" w:cs="Arial"/>
          <w:snapToGrid w:val="0"/>
          <w:sz w:val="20"/>
          <w:szCs w:val="20"/>
        </w:rPr>
        <w:t xml:space="preserve"> Capogruppo </w:t>
      </w:r>
      <w:r w:rsidRPr="00DD6555">
        <w:rPr>
          <w:rFonts w:ascii="Arial" w:hAnsi="Arial" w:cs="Arial"/>
          <w:snapToGrid w:val="0"/>
          <w:sz w:val="20"/>
          <w:szCs w:val="20"/>
        </w:rPr>
        <w:t xml:space="preserve"> si è avvalsa della facoltà di non applicare il metodo del costo ammortizzato per i crediti e debiti di natura finanziaria, </w:t>
      </w:r>
      <w:r w:rsidR="00662FD0" w:rsidRPr="00DD6555">
        <w:rPr>
          <w:rFonts w:ascii="Arial" w:hAnsi="Arial" w:cs="Arial"/>
          <w:snapToGrid w:val="0"/>
          <w:sz w:val="20"/>
          <w:szCs w:val="20"/>
        </w:rPr>
        <w:t>in quan</w:t>
      </w:r>
      <w:r w:rsidR="00662FD0">
        <w:rPr>
          <w:rFonts w:ascii="Arial" w:hAnsi="Arial" w:cs="Arial"/>
          <w:snapToGrid w:val="0"/>
          <w:sz w:val="20"/>
          <w:szCs w:val="20"/>
        </w:rPr>
        <w:t>t</w:t>
      </w:r>
      <w:r w:rsidR="00662FD0" w:rsidRPr="00DD6555">
        <w:rPr>
          <w:rFonts w:ascii="Arial" w:hAnsi="Arial" w:cs="Arial"/>
          <w:snapToGrid w:val="0"/>
          <w:sz w:val="20"/>
          <w:szCs w:val="20"/>
        </w:rPr>
        <w:t>o</w:t>
      </w:r>
      <w:r w:rsidRPr="00DD6555">
        <w:rPr>
          <w:rFonts w:ascii="Arial" w:hAnsi="Arial" w:cs="Arial"/>
          <w:snapToGrid w:val="0"/>
          <w:sz w:val="20"/>
          <w:szCs w:val="20"/>
        </w:rPr>
        <w:t xml:space="preserve"> gli effetti sono irrilevanti, ovvero i costi di </w:t>
      </w:r>
      <w:r w:rsidRPr="00DD6555">
        <w:rPr>
          <w:rFonts w:ascii="Arial" w:hAnsi="Arial" w:cs="Arial"/>
          <w:snapToGrid w:val="0"/>
          <w:sz w:val="20"/>
          <w:szCs w:val="20"/>
        </w:rPr>
        <w:lastRenderedPageBreak/>
        <w:t>transazione, le commissioni pagate tra le parti e ogni altra differenza tra valore iniziale e valore a scadenza sono di scarso rilievo oppure se i crediti sono a breve termine (ossia con scadenza inferiore ai 12 mesi).</w:t>
      </w:r>
      <w:r w:rsidR="008F4879" w:rsidRPr="008F4879">
        <w:rPr>
          <w:rFonts w:ascii="Arial" w:hAnsi="Arial" w:cs="Arial"/>
          <w:snapToGrid w:val="0"/>
          <w:sz w:val="20"/>
        </w:rPr>
        <w:t xml:space="preserve"> </w:t>
      </w:r>
    </w:p>
    <w:p w14:paraId="69E1C887" w14:textId="77777777" w:rsidR="00D80507" w:rsidRDefault="00D80507" w:rsidP="001223E5">
      <w:pPr>
        <w:widowControl w:val="0"/>
        <w:tabs>
          <w:tab w:val="left" w:pos="1620"/>
          <w:tab w:val="left" w:pos="5147"/>
        </w:tabs>
        <w:spacing w:before="120"/>
        <w:jc w:val="both"/>
        <w:rPr>
          <w:rFonts w:ascii="Arial" w:hAnsi="Arial" w:cs="Arial"/>
          <w:snapToGrid w:val="0"/>
          <w:sz w:val="20"/>
        </w:rPr>
      </w:pPr>
      <w:r w:rsidRPr="00FA14D8">
        <w:rPr>
          <w:rFonts w:ascii="Arial" w:hAnsi="Arial" w:cs="Arial"/>
          <w:snapToGrid w:val="0"/>
          <w:sz w:val="20"/>
        </w:rPr>
        <w:t>Di seguito sono esposti i criteri di valutazione adottati per le poste più significative del bilancio.</w:t>
      </w:r>
    </w:p>
    <w:p w14:paraId="15D6C367" w14:textId="77777777" w:rsidR="00EE4AF0" w:rsidRDefault="00EE4AF0" w:rsidP="001223E5">
      <w:pPr>
        <w:pStyle w:val="Titolo2"/>
        <w:spacing w:before="120" w:after="120"/>
        <w:rPr>
          <w:rFonts w:ascii="Arial" w:hAnsi="Arial" w:cs="Arial"/>
          <w:sz w:val="20"/>
        </w:rPr>
      </w:pPr>
      <w:r>
        <w:rPr>
          <w:rFonts w:ascii="Arial" w:hAnsi="Arial" w:cs="Arial"/>
          <w:sz w:val="20"/>
        </w:rPr>
        <w:t>Immobilizzazioni</w:t>
      </w:r>
    </w:p>
    <w:p w14:paraId="6B131085" w14:textId="77777777" w:rsidR="00EE4AF0" w:rsidRDefault="00EE4AF0" w:rsidP="001223E5">
      <w:pPr>
        <w:pStyle w:val="Titolo3"/>
        <w:spacing w:before="120" w:after="120"/>
        <w:ind w:left="0"/>
        <w:rPr>
          <w:rFonts w:ascii="Arial" w:hAnsi="Arial" w:cs="Arial"/>
          <w:b/>
          <w:bCs/>
          <w:sz w:val="20"/>
        </w:rPr>
      </w:pPr>
      <w:r>
        <w:rPr>
          <w:rFonts w:ascii="Arial" w:hAnsi="Arial" w:cs="Arial"/>
          <w:b/>
          <w:bCs/>
          <w:sz w:val="20"/>
        </w:rPr>
        <w:t>Immateriali</w:t>
      </w:r>
    </w:p>
    <w:p w14:paraId="556DB0CE" w14:textId="77777777" w:rsidR="00EE4AF0" w:rsidRDefault="00EE4AF0" w:rsidP="001223E5">
      <w:pPr>
        <w:widowControl w:val="0"/>
        <w:tabs>
          <w:tab w:val="left" w:pos="204"/>
        </w:tabs>
        <w:spacing w:before="120" w:after="120"/>
        <w:jc w:val="both"/>
        <w:rPr>
          <w:rFonts w:ascii="Arial" w:hAnsi="Arial" w:cs="Arial"/>
          <w:snapToGrid w:val="0"/>
          <w:sz w:val="20"/>
        </w:rPr>
      </w:pPr>
      <w:r>
        <w:rPr>
          <w:rFonts w:ascii="Arial" w:hAnsi="Arial" w:cs="Arial"/>
          <w:snapToGrid w:val="0"/>
          <w:sz w:val="20"/>
        </w:rPr>
        <w:t>Sono iscritte al costo di acquisto, comprensivo degli oneri accessori di diretta imputazione, e si riferiscono a costi aventi comprovata utilità pluriennale, esposti nell’attivo di bilancio al netto dei relativi ammortamenti.</w:t>
      </w:r>
    </w:p>
    <w:p w14:paraId="6C24BDA7" w14:textId="77777777" w:rsidR="00EE4AF0" w:rsidRDefault="00EE4AF0" w:rsidP="001223E5">
      <w:pPr>
        <w:widowControl w:val="0"/>
        <w:tabs>
          <w:tab w:val="left" w:pos="204"/>
        </w:tabs>
        <w:spacing w:before="120" w:after="120"/>
        <w:jc w:val="both"/>
        <w:rPr>
          <w:rFonts w:ascii="Arial" w:hAnsi="Arial" w:cs="Arial"/>
          <w:snapToGrid w:val="0"/>
          <w:sz w:val="20"/>
        </w:rPr>
      </w:pPr>
      <w:r>
        <w:rPr>
          <w:rFonts w:ascii="Arial" w:hAnsi="Arial" w:cs="Arial"/>
          <w:snapToGrid w:val="0"/>
          <w:sz w:val="20"/>
        </w:rPr>
        <w:t>I piani di ammortamento di tali costi sono stati predisposti tenendo conto dell’arco temporale entro cui si stima essi producano utilità.</w:t>
      </w:r>
    </w:p>
    <w:p w14:paraId="588CA24F" w14:textId="77777777" w:rsidR="008F4879" w:rsidRDefault="008F4879" w:rsidP="001223E5">
      <w:pPr>
        <w:widowControl w:val="0"/>
        <w:tabs>
          <w:tab w:val="left" w:pos="204"/>
        </w:tabs>
        <w:spacing w:before="120" w:after="120"/>
        <w:jc w:val="both"/>
        <w:rPr>
          <w:rFonts w:ascii="Arial" w:hAnsi="Arial" w:cs="Arial"/>
          <w:snapToGrid w:val="0"/>
          <w:sz w:val="20"/>
        </w:rPr>
      </w:pPr>
      <w:r>
        <w:rPr>
          <w:rFonts w:ascii="Arial" w:hAnsi="Arial" w:cs="Arial"/>
          <w:snapToGrid w:val="0"/>
          <w:sz w:val="20"/>
        </w:rPr>
        <w:t xml:space="preserve">La voce Avviamento è relativa al conferimento del ramo di azienda della sosta ed è stato ammortizzato in un arco temporale di </w:t>
      </w:r>
      <w:r w:rsidR="00662FD0">
        <w:rPr>
          <w:rFonts w:ascii="Arial" w:hAnsi="Arial" w:cs="Arial"/>
          <w:snapToGrid w:val="0"/>
          <w:sz w:val="20"/>
        </w:rPr>
        <w:t>dieci</w:t>
      </w:r>
      <w:r>
        <w:rPr>
          <w:rFonts w:ascii="Arial" w:hAnsi="Arial" w:cs="Arial"/>
          <w:snapToGrid w:val="0"/>
          <w:sz w:val="20"/>
        </w:rPr>
        <w:t xml:space="preserve"> anni, tenuto conto della sua prevista recuperabilità.</w:t>
      </w:r>
    </w:p>
    <w:p w14:paraId="263B873E" w14:textId="77777777" w:rsidR="00995C64" w:rsidRPr="00995C64" w:rsidRDefault="00995C64" w:rsidP="001223E5">
      <w:pPr>
        <w:widowControl w:val="0"/>
        <w:tabs>
          <w:tab w:val="left" w:pos="204"/>
        </w:tabs>
        <w:spacing w:before="120" w:after="120"/>
        <w:jc w:val="both"/>
        <w:rPr>
          <w:rFonts w:ascii="Arial" w:hAnsi="Arial" w:cs="Arial"/>
          <w:snapToGrid w:val="0"/>
          <w:sz w:val="20"/>
        </w:rPr>
      </w:pPr>
      <w:r w:rsidRPr="00995C64">
        <w:rPr>
          <w:rFonts w:ascii="Arial" w:hAnsi="Arial" w:cs="Arial"/>
          <w:snapToGrid w:val="0"/>
          <w:sz w:val="20"/>
        </w:rPr>
        <w:t>Le migliorie su beni di terzi sono capitalizzate ed iscritte tra le “altre immobilizzazioni immateriali” se non sono separabili dai beni stessi (altrimenti sono iscritte tra le “immobilizzazioni materiali” nella specifica voce di appartenenza), sono ammortizzate in modo sistematico al minore tra il periodo di prevista utilità futura e</w:t>
      </w:r>
      <w:r>
        <w:rPr>
          <w:rFonts w:ascii="Arial" w:hAnsi="Arial" w:cs="Arial"/>
          <w:snapToGrid w:val="0"/>
          <w:sz w:val="20"/>
        </w:rPr>
        <w:t xml:space="preserve"> quello residuo della locazione, con aliquota del 20%.</w:t>
      </w:r>
    </w:p>
    <w:p w14:paraId="54C0277E" w14:textId="77777777" w:rsidR="00995C64" w:rsidRPr="00995C64" w:rsidRDefault="00995C64" w:rsidP="001223E5">
      <w:pPr>
        <w:widowControl w:val="0"/>
        <w:tabs>
          <w:tab w:val="left" w:pos="204"/>
        </w:tabs>
        <w:spacing w:before="120" w:after="120"/>
        <w:jc w:val="both"/>
        <w:rPr>
          <w:rFonts w:ascii="Arial" w:hAnsi="Arial" w:cs="Arial"/>
          <w:snapToGrid w:val="0"/>
          <w:sz w:val="20"/>
        </w:rPr>
      </w:pPr>
      <w:r w:rsidRPr="00995C64">
        <w:rPr>
          <w:rFonts w:ascii="Arial" w:hAnsi="Arial" w:cs="Arial"/>
          <w:snapToGrid w:val="0"/>
          <w:sz w:val="20"/>
        </w:rPr>
        <w:t>Nel caso in cui, indipendentemente dall’ammortamento già contabilizzato, risulti una perdita durevole di valore, l’immobilizzazione viene corrispondentemente svalutata; se in esercizi successivi vengono meno i motivi che avevano giustificato la svalutazione, viene ripristinato il valore originario, nei limiti del valore che l’attività avrebbe avuto ove la rettifica di valore non avesse mai avuto luogo, eccezion fatta per la voce avviamento ed “Oneri pluriennali” di cui al numero 5 dell’art. 2426 del c.c.</w:t>
      </w:r>
    </w:p>
    <w:p w14:paraId="6AB80209" w14:textId="77777777" w:rsidR="00995C64" w:rsidRPr="00995C64" w:rsidRDefault="00995C64" w:rsidP="001223E5">
      <w:pPr>
        <w:widowControl w:val="0"/>
        <w:tabs>
          <w:tab w:val="left" w:pos="204"/>
        </w:tabs>
        <w:spacing w:before="120" w:after="120"/>
        <w:jc w:val="both"/>
        <w:rPr>
          <w:rFonts w:ascii="Arial" w:hAnsi="Arial" w:cs="Arial"/>
          <w:snapToGrid w:val="0"/>
          <w:sz w:val="20"/>
        </w:rPr>
      </w:pPr>
      <w:r>
        <w:rPr>
          <w:rFonts w:ascii="Arial" w:hAnsi="Arial" w:cs="Arial"/>
          <w:snapToGrid w:val="0"/>
          <w:sz w:val="20"/>
        </w:rPr>
        <w:t xml:space="preserve">Le concessioni e </w:t>
      </w:r>
      <w:r w:rsidR="00662FD0">
        <w:rPr>
          <w:rFonts w:ascii="Arial" w:hAnsi="Arial" w:cs="Arial"/>
          <w:snapToGrid w:val="0"/>
          <w:sz w:val="20"/>
        </w:rPr>
        <w:t xml:space="preserve">licenze </w:t>
      </w:r>
      <w:r w:rsidR="00662FD0" w:rsidRPr="00995C64">
        <w:rPr>
          <w:rFonts w:ascii="Arial" w:hAnsi="Arial" w:cs="Arial"/>
          <w:snapToGrid w:val="0"/>
          <w:sz w:val="20"/>
        </w:rPr>
        <w:t>comprendono</w:t>
      </w:r>
      <w:r>
        <w:rPr>
          <w:rFonts w:ascii="Arial" w:hAnsi="Arial" w:cs="Arial"/>
          <w:snapToGrid w:val="0"/>
          <w:sz w:val="20"/>
        </w:rPr>
        <w:t xml:space="preserve"> </w:t>
      </w:r>
      <w:r w:rsidRPr="00995C64">
        <w:rPr>
          <w:rFonts w:ascii="Arial" w:hAnsi="Arial" w:cs="Arial"/>
          <w:snapToGrid w:val="0"/>
          <w:sz w:val="20"/>
        </w:rPr>
        <w:t>i costi sostenuti per l’acquisizione del software di base inteso come insieme di istruzioni indispensabili per il funzionamento dell’hardware e software applicativo, e i costi sostenuti per l’acquisizione del software applicativo a titolo di licenza d’uso ammortizzati a quote costanti per un periodo di prevista utilità futura stimato in cinque anni, pari a quello stimato per la vita utile del bene materiale pertinente.</w:t>
      </w:r>
    </w:p>
    <w:p w14:paraId="3032F760" w14:textId="77777777" w:rsidR="00995C64" w:rsidRPr="00995C64" w:rsidRDefault="00995C64" w:rsidP="001223E5">
      <w:pPr>
        <w:widowControl w:val="0"/>
        <w:tabs>
          <w:tab w:val="left" w:pos="204"/>
        </w:tabs>
        <w:spacing w:before="120" w:after="120"/>
        <w:jc w:val="both"/>
        <w:rPr>
          <w:rFonts w:ascii="Arial" w:hAnsi="Arial" w:cs="Arial"/>
          <w:snapToGrid w:val="0"/>
          <w:sz w:val="20"/>
        </w:rPr>
      </w:pPr>
      <w:r w:rsidRPr="00995C64">
        <w:rPr>
          <w:rFonts w:ascii="Arial" w:hAnsi="Arial" w:cs="Arial"/>
          <w:snapToGrid w:val="0"/>
          <w:sz w:val="20"/>
        </w:rPr>
        <w:t>I costi sono esposti al netto degli ammortamenti effettuati nell’esercizio e dedotti direttamente dai valori originari dei beni cui si riferiscono.</w:t>
      </w:r>
    </w:p>
    <w:p w14:paraId="2E48EB21" w14:textId="77777777" w:rsidR="00EE4AF0" w:rsidRDefault="00EE4AF0" w:rsidP="001223E5">
      <w:pPr>
        <w:pStyle w:val="Titolo3"/>
        <w:spacing w:before="120" w:after="120"/>
        <w:ind w:left="0"/>
        <w:rPr>
          <w:rFonts w:ascii="Arial" w:hAnsi="Arial" w:cs="Arial"/>
          <w:b/>
          <w:bCs/>
          <w:sz w:val="20"/>
        </w:rPr>
      </w:pPr>
      <w:r>
        <w:rPr>
          <w:rFonts w:ascii="Arial" w:hAnsi="Arial" w:cs="Arial"/>
          <w:b/>
          <w:bCs/>
          <w:sz w:val="20"/>
        </w:rPr>
        <w:t>Materiali</w:t>
      </w:r>
    </w:p>
    <w:p w14:paraId="3E710EE1" w14:textId="77777777" w:rsidR="00EE4AF0" w:rsidRDefault="00EE4AF0" w:rsidP="001223E5">
      <w:pPr>
        <w:widowControl w:val="0"/>
        <w:tabs>
          <w:tab w:val="left" w:pos="204"/>
        </w:tabs>
        <w:spacing w:before="120" w:after="120"/>
        <w:jc w:val="both"/>
        <w:rPr>
          <w:rFonts w:ascii="Arial" w:hAnsi="Arial" w:cs="Arial"/>
          <w:snapToGrid w:val="0"/>
          <w:sz w:val="20"/>
        </w:rPr>
      </w:pPr>
      <w:r>
        <w:rPr>
          <w:rFonts w:ascii="Arial" w:hAnsi="Arial" w:cs="Arial"/>
          <w:snapToGrid w:val="0"/>
          <w:sz w:val="20"/>
        </w:rPr>
        <w:t>Sono iscritte al costo d’acquisto, maggiorati degli oneri di diretta imputazione ed esposti nell’attivo dello stato patrimoniale al netto dei corrispondenti fondi d’ammortamento.</w:t>
      </w:r>
    </w:p>
    <w:p w14:paraId="1254A8EE" w14:textId="77777777" w:rsidR="008F4879" w:rsidRPr="00674587" w:rsidRDefault="00EE4AF0" w:rsidP="001223E5">
      <w:pPr>
        <w:widowControl w:val="0"/>
        <w:tabs>
          <w:tab w:val="left" w:pos="204"/>
        </w:tabs>
        <w:spacing w:before="120" w:after="120"/>
        <w:jc w:val="both"/>
        <w:rPr>
          <w:rFonts w:ascii="Arial" w:hAnsi="Arial" w:cs="Arial"/>
          <w:snapToGrid w:val="0"/>
          <w:sz w:val="20"/>
        </w:rPr>
      </w:pPr>
      <w:r w:rsidRPr="00674587">
        <w:rPr>
          <w:rFonts w:ascii="Arial" w:hAnsi="Arial" w:cs="Arial"/>
          <w:snapToGrid w:val="0"/>
          <w:sz w:val="20"/>
        </w:rPr>
        <w:t xml:space="preserve">Nel valore d’iscrizione in bilancio si è tenuto conto degli oneri accessori e dei costi sostenuti per l’utilizzo dell’immobilizzazione, portando a riduzione del costo gli sconti commerciali e gli sconti cassa d’ammontare rilevante. </w:t>
      </w:r>
    </w:p>
    <w:p w14:paraId="54E1681C" w14:textId="77777777" w:rsidR="008F4879" w:rsidRPr="008F4879" w:rsidRDefault="008F4879" w:rsidP="001223E5">
      <w:pPr>
        <w:pStyle w:val="Rientrocorpodeltesto2"/>
        <w:tabs>
          <w:tab w:val="left" w:pos="1620"/>
        </w:tabs>
        <w:ind w:left="0"/>
        <w:rPr>
          <w:sz w:val="20"/>
        </w:rPr>
      </w:pPr>
      <w:r w:rsidRPr="008F4879">
        <w:rPr>
          <w:sz w:val="20"/>
        </w:rPr>
        <w:t xml:space="preserve">Le spese di manutenzione straordinaria volte all’ampliamento, ammodernamento o miglioramento degli elementi strutturali delle immobilizzazioni e destinate ad un aumento significativo e misurabile di produttività, sicurezza e vita utile delle stesse, sono state capitalizzate imputandole a maggiorazione del costo originario del cespite di riferimento (principio contabile n. 16 par.D.III), laddove il bene pertinente </w:t>
      </w:r>
      <w:r w:rsidR="00EA7C8E" w:rsidRPr="008F4879">
        <w:rPr>
          <w:sz w:val="20"/>
        </w:rPr>
        <w:t>è</w:t>
      </w:r>
      <w:r w:rsidRPr="008F4879">
        <w:rPr>
          <w:sz w:val="20"/>
        </w:rPr>
        <w:t xml:space="preserve"> iscritto nell’ attivo del patrimonio societario.</w:t>
      </w:r>
    </w:p>
    <w:p w14:paraId="6663D61B" w14:textId="77777777" w:rsidR="008F4879" w:rsidRDefault="00234564" w:rsidP="001223E5">
      <w:pPr>
        <w:pStyle w:val="Rientrocorpodeltesto2"/>
        <w:tabs>
          <w:tab w:val="left" w:pos="1620"/>
        </w:tabs>
        <w:ind w:left="0"/>
        <w:rPr>
          <w:sz w:val="20"/>
        </w:rPr>
      </w:pPr>
      <w:r w:rsidRPr="008F4879">
        <w:rPr>
          <w:sz w:val="20"/>
        </w:rPr>
        <w:t>Le spese di manutenzione ordinaria sostenute per il costante mantenimento dell’efficienza e della funzionalità originaria dell’immobilizzazione stessa e per garantire la vita utile</w:t>
      </w:r>
      <w:r w:rsidR="008F4879" w:rsidRPr="008F4879">
        <w:rPr>
          <w:sz w:val="20"/>
        </w:rPr>
        <w:t xml:space="preserve"> sono state invece addebitate al conto economico (</w:t>
      </w:r>
      <w:r w:rsidR="00662FD0" w:rsidRPr="008F4879">
        <w:rPr>
          <w:sz w:val="20"/>
        </w:rPr>
        <w:t>principio contabile</w:t>
      </w:r>
      <w:r w:rsidR="008F4879" w:rsidRPr="008F4879">
        <w:rPr>
          <w:sz w:val="20"/>
        </w:rPr>
        <w:t xml:space="preserve"> n. 16 par. D.IV).</w:t>
      </w:r>
    </w:p>
    <w:p w14:paraId="1F19C525" w14:textId="77777777" w:rsidR="00CF463F" w:rsidRDefault="00EE4AF0" w:rsidP="001223E5">
      <w:pPr>
        <w:pStyle w:val="Rientrocorpodeltesto2"/>
        <w:tabs>
          <w:tab w:val="left" w:pos="1620"/>
        </w:tabs>
        <w:ind w:left="0"/>
        <w:rPr>
          <w:sz w:val="20"/>
        </w:rPr>
      </w:pPr>
      <w:r>
        <w:rPr>
          <w:sz w:val="20"/>
        </w:rPr>
        <w:t>Le quote d’ammortamento, imputate a conto economico, sono state calcolate attesi l’utilizzo, la destinazione e la durata economico-tecnica dei cespiti, sulla base del criterio dell</w:t>
      </w:r>
      <w:r w:rsidR="00DB303F">
        <w:rPr>
          <w:sz w:val="20"/>
        </w:rPr>
        <w:t xml:space="preserve">a residua possibilità di </w:t>
      </w:r>
      <w:r>
        <w:rPr>
          <w:sz w:val="20"/>
        </w:rPr>
        <w:t>utilizzazione.</w:t>
      </w:r>
      <w:r w:rsidR="00DB303F">
        <w:rPr>
          <w:sz w:val="20"/>
        </w:rPr>
        <w:t xml:space="preserve"> A tal fine le aliquote previste dalla normativa fiscale sono ritenute </w:t>
      </w:r>
      <w:r w:rsidR="00DB303F">
        <w:rPr>
          <w:sz w:val="20"/>
        </w:rPr>
        <w:lastRenderedPageBreak/>
        <w:t xml:space="preserve">rappresentative della residua possibilità di utilizzo dei beni. </w:t>
      </w:r>
      <w:r>
        <w:rPr>
          <w:sz w:val="20"/>
        </w:rPr>
        <w:t xml:space="preserve"> </w:t>
      </w:r>
      <w:r w:rsidR="00E33E9C" w:rsidRPr="00E33E9C">
        <w:rPr>
          <w:sz w:val="20"/>
        </w:rPr>
        <w:t>Per gli investimenti entrati in funzione nell’esercizio in corso l’aliquota è dimezzata, ipotizzandosi l’entrata</w:t>
      </w:r>
      <w:r w:rsidR="00E33E9C">
        <w:rPr>
          <w:sz w:val="20"/>
        </w:rPr>
        <w:t xml:space="preserve"> </w:t>
      </w:r>
      <w:r w:rsidR="00E33E9C" w:rsidRPr="00E33E9C">
        <w:rPr>
          <w:sz w:val="20"/>
        </w:rPr>
        <w:t>in funzione media dei beni corrisp</w:t>
      </w:r>
      <w:r w:rsidR="00DB303F">
        <w:rPr>
          <w:sz w:val="20"/>
        </w:rPr>
        <w:t xml:space="preserve">ondente alla metà </w:t>
      </w:r>
      <w:r w:rsidR="00662FD0">
        <w:rPr>
          <w:sz w:val="20"/>
        </w:rPr>
        <w:t>dell’esercizio, In</w:t>
      </w:r>
      <w:r>
        <w:rPr>
          <w:sz w:val="20"/>
        </w:rPr>
        <w:t xml:space="preserve"> sintesi, le aliquote applicate sono:</w:t>
      </w:r>
    </w:p>
    <w:p w14:paraId="3AACCF2B" w14:textId="77777777" w:rsidR="002B2AF6" w:rsidRDefault="002B2AF6" w:rsidP="007F061C">
      <w:pPr>
        <w:pStyle w:val="Rientrocorpodeltesto2"/>
        <w:tabs>
          <w:tab w:val="left" w:pos="1620"/>
        </w:tabs>
        <w:ind w:left="0"/>
        <w:rPr>
          <w:sz w:val="20"/>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379"/>
        <w:gridCol w:w="1669"/>
        <w:gridCol w:w="676"/>
        <w:gridCol w:w="998"/>
        <w:gridCol w:w="845"/>
      </w:tblGrid>
      <w:tr w:rsidR="00C30221" w:rsidRPr="00616F22" w14:paraId="47A930DD" w14:textId="77777777" w:rsidTr="001223E5">
        <w:tc>
          <w:tcPr>
            <w:tcW w:w="2486" w:type="pct"/>
            <w:gridSpan w:val="2"/>
          </w:tcPr>
          <w:p w14:paraId="12947D57" w14:textId="77777777" w:rsidR="00BF0D6C" w:rsidRPr="002B2AF6" w:rsidRDefault="00BF0D6C" w:rsidP="00D23774">
            <w:pPr>
              <w:pStyle w:val="Rientrocorpodeltesto2"/>
              <w:tabs>
                <w:tab w:val="left" w:pos="1620"/>
              </w:tabs>
              <w:ind w:left="0"/>
              <w:jc w:val="center"/>
              <w:rPr>
                <w:b/>
                <w:sz w:val="16"/>
                <w:szCs w:val="16"/>
              </w:rPr>
            </w:pPr>
            <w:r w:rsidRPr="002B2AF6">
              <w:rPr>
                <w:b/>
                <w:sz w:val="16"/>
                <w:szCs w:val="16"/>
              </w:rPr>
              <w:t>CATEGORIA</w:t>
            </w:r>
          </w:p>
        </w:tc>
        <w:tc>
          <w:tcPr>
            <w:tcW w:w="1408" w:type="pct"/>
            <w:gridSpan w:val="2"/>
          </w:tcPr>
          <w:p w14:paraId="6599287A" w14:textId="77777777" w:rsidR="00BF0D6C" w:rsidRPr="002B2AF6" w:rsidRDefault="00BF0D6C" w:rsidP="00D23774">
            <w:pPr>
              <w:pStyle w:val="Rientrocorpodeltesto2"/>
              <w:tabs>
                <w:tab w:val="left" w:pos="1620"/>
              </w:tabs>
              <w:ind w:left="0"/>
              <w:jc w:val="center"/>
              <w:rPr>
                <w:b/>
                <w:sz w:val="16"/>
                <w:szCs w:val="16"/>
              </w:rPr>
            </w:pPr>
            <w:r w:rsidRPr="002B2AF6">
              <w:rPr>
                <w:b/>
                <w:sz w:val="16"/>
                <w:szCs w:val="16"/>
              </w:rPr>
              <w:t>IMMOBILIZZAZIONE</w:t>
            </w:r>
          </w:p>
        </w:tc>
        <w:tc>
          <w:tcPr>
            <w:tcW w:w="1106" w:type="pct"/>
            <w:gridSpan w:val="2"/>
          </w:tcPr>
          <w:p w14:paraId="3FB2C12A" w14:textId="77777777" w:rsidR="00BF0D6C" w:rsidRPr="002B2AF6" w:rsidRDefault="00BF0D6C" w:rsidP="00D23774">
            <w:pPr>
              <w:pStyle w:val="Rientrocorpodeltesto2"/>
              <w:tabs>
                <w:tab w:val="left" w:pos="1620"/>
              </w:tabs>
              <w:ind w:left="0"/>
              <w:jc w:val="center"/>
              <w:rPr>
                <w:b/>
                <w:sz w:val="16"/>
                <w:szCs w:val="16"/>
              </w:rPr>
            </w:pPr>
            <w:r w:rsidRPr="002B2AF6">
              <w:rPr>
                <w:b/>
                <w:sz w:val="16"/>
                <w:szCs w:val="16"/>
              </w:rPr>
              <w:t>% AMMORTAMENTO</w:t>
            </w:r>
          </w:p>
        </w:tc>
      </w:tr>
      <w:tr w:rsidR="00C30221" w:rsidRPr="00616F22" w14:paraId="6E39D53D" w14:textId="77777777" w:rsidTr="001223E5">
        <w:trPr>
          <w:trHeight w:val="344"/>
        </w:trPr>
        <w:tc>
          <w:tcPr>
            <w:tcW w:w="2486" w:type="pct"/>
            <w:gridSpan w:val="2"/>
          </w:tcPr>
          <w:p w14:paraId="40C46880" w14:textId="77777777" w:rsidR="00BF0D6C" w:rsidRPr="008B18BE" w:rsidRDefault="004E4477" w:rsidP="00D23774">
            <w:pPr>
              <w:pStyle w:val="Rientrocorpodeltesto2"/>
              <w:tabs>
                <w:tab w:val="left" w:pos="1620"/>
              </w:tabs>
              <w:ind w:left="0"/>
              <w:rPr>
                <w:b/>
                <w:sz w:val="14"/>
                <w:szCs w:val="14"/>
              </w:rPr>
            </w:pPr>
            <w:r w:rsidRPr="008B18BE">
              <w:rPr>
                <w:b/>
                <w:sz w:val="14"/>
                <w:szCs w:val="14"/>
              </w:rPr>
              <w:t>IMMOBILIZZAZIONI MATERIALI</w:t>
            </w:r>
          </w:p>
        </w:tc>
        <w:tc>
          <w:tcPr>
            <w:tcW w:w="1408" w:type="pct"/>
            <w:gridSpan w:val="2"/>
          </w:tcPr>
          <w:p w14:paraId="49E9C4A6" w14:textId="77777777" w:rsidR="00BF0D6C" w:rsidRPr="002B2AF6" w:rsidRDefault="00BF0D6C" w:rsidP="00D23774">
            <w:pPr>
              <w:pStyle w:val="Rientrocorpodeltesto2"/>
              <w:tabs>
                <w:tab w:val="left" w:pos="1620"/>
              </w:tabs>
              <w:ind w:left="0"/>
              <w:rPr>
                <w:sz w:val="16"/>
                <w:szCs w:val="16"/>
              </w:rPr>
            </w:pPr>
          </w:p>
        </w:tc>
        <w:tc>
          <w:tcPr>
            <w:tcW w:w="1106" w:type="pct"/>
            <w:gridSpan w:val="2"/>
          </w:tcPr>
          <w:p w14:paraId="2829FF74" w14:textId="77777777" w:rsidR="00BF0D6C" w:rsidRPr="002B2AF6" w:rsidRDefault="00BF0D6C" w:rsidP="00D23774">
            <w:pPr>
              <w:pStyle w:val="Rientrocorpodeltesto2"/>
              <w:tabs>
                <w:tab w:val="left" w:pos="1620"/>
              </w:tabs>
              <w:ind w:left="0"/>
              <w:rPr>
                <w:sz w:val="16"/>
                <w:szCs w:val="16"/>
              </w:rPr>
            </w:pPr>
          </w:p>
        </w:tc>
      </w:tr>
      <w:tr w:rsidR="00C30221" w:rsidRPr="00616F22" w14:paraId="6D7CF8A5" w14:textId="77777777" w:rsidTr="001223E5">
        <w:tc>
          <w:tcPr>
            <w:tcW w:w="2486" w:type="pct"/>
            <w:gridSpan w:val="2"/>
          </w:tcPr>
          <w:p w14:paraId="3BB665AB" w14:textId="77777777" w:rsidR="00BF0D6C" w:rsidRPr="008B18BE" w:rsidRDefault="004E4477" w:rsidP="008B18BE">
            <w:pPr>
              <w:pStyle w:val="Rientrocorpodeltesto2"/>
              <w:tabs>
                <w:tab w:val="left" w:pos="1620"/>
              </w:tabs>
              <w:ind w:left="0"/>
              <w:rPr>
                <w:b/>
                <w:sz w:val="14"/>
                <w:szCs w:val="14"/>
              </w:rPr>
            </w:pPr>
            <w:r w:rsidRPr="008B18BE">
              <w:rPr>
                <w:b/>
                <w:sz w:val="14"/>
                <w:szCs w:val="14"/>
              </w:rPr>
              <w:t>TERRENI E FABBRICATI</w:t>
            </w:r>
          </w:p>
        </w:tc>
        <w:tc>
          <w:tcPr>
            <w:tcW w:w="1408" w:type="pct"/>
            <w:gridSpan w:val="2"/>
          </w:tcPr>
          <w:p w14:paraId="5F672929" w14:textId="77777777" w:rsidR="00BF0D6C" w:rsidRPr="002B2AF6" w:rsidRDefault="004E4477" w:rsidP="00D23774">
            <w:pPr>
              <w:pStyle w:val="Rientrocorpodeltesto2"/>
              <w:tabs>
                <w:tab w:val="left" w:pos="1620"/>
              </w:tabs>
              <w:ind w:left="0"/>
              <w:rPr>
                <w:sz w:val="16"/>
                <w:szCs w:val="16"/>
              </w:rPr>
            </w:pPr>
            <w:r w:rsidRPr="002B2AF6">
              <w:rPr>
                <w:sz w:val="16"/>
                <w:szCs w:val="16"/>
              </w:rPr>
              <w:t>Fabbricati industriali</w:t>
            </w:r>
          </w:p>
        </w:tc>
        <w:tc>
          <w:tcPr>
            <w:tcW w:w="1106" w:type="pct"/>
            <w:gridSpan w:val="2"/>
          </w:tcPr>
          <w:p w14:paraId="13A2F425" w14:textId="77777777" w:rsidR="00BF0D6C" w:rsidRPr="002B2AF6" w:rsidRDefault="004E4477" w:rsidP="00D23774">
            <w:pPr>
              <w:pStyle w:val="Rientrocorpodeltesto2"/>
              <w:tabs>
                <w:tab w:val="left" w:pos="1620"/>
              </w:tabs>
              <w:ind w:left="0"/>
              <w:rPr>
                <w:sz w:val="16"/>
                <w:szCs w:val="16"/>
              </w:rPr>
            </w:pPr>
            <w:r w:rsidRPr="002B2AF6">
              <w:rPr>
                <w:sz w:val="16"/>
                <w:szCs w:val="16"/>
              </w:rPr>
              <w:t>4%</w:t>
            </w:r>
          </w:p>
        </w:tc>
      </w:tr>
      <w:tr w:rsidR="00C30221" w:rsidRPr="00616F22" w14:paraId="1FACF66F" w14:textId="77777777" w:rsidTr="001223E5">
        <w:trPr>
          <w:trHeight w:val="324"/>
        </w:trPr>
        <w:tc>
          <w:tcPr>
            <w:tcW w:w="2486" w:type="pct"/>
            <w:gridSpan w:val="2"/>
          </w:tcPr>
          <w:p w14:paraId="6E5BBD89"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50832AAD" w14:textId="77777777" w:rsidR="00BF0D6C" w:rsidRPr="002B2AF6" w:rsidRDefault="004E4477" w:rsidP="00D23774">
            <w:pPr>
              <w:pStyle w:val="Rientrocorpodeltesto2"/>
              <w:tabs>
                <w:tab w:val="left" w:pos="1620"/>
              </w:tabs>
              <w:ind w:left="0"/>
              <w:rPr>
                <w:sz w:val="16"/>
                <w:szCs w:val="16"/>
              </w:rPr>
            </w:pPr>
            <w:r w:rsidRPr="002B2AF6">
              <w:rPr>
                <w:sz w:val="16"/>
                <w:szCs w:val="16"/>
              </w:rPr>
              <w:t>Fabbricati civili</w:t>
            </w:r>
          </w:p>
        </w:tc>
        <w:tc>
          <w:tcPr>
            <w:tcW w:w="1106" w:type="pct"/>
            <w:gridSpan w:val="2"/>
          </w:tcPr>
          <w:p w14:paraId="53091D11" w14:textId="77777777" w:rsidR="00BF0D6C" w:rsidRPr="002B2AF6" w:rsidRDefault="004E4477" w:rsidP="00D23774">
            <w:pPr>
              <w:pStyle w:val="Rientrocorpodeltesto2"/>
              <w:tabs>
                <w:tab w:val="left" w:pos="1620"/>
              </w:tabs>
              <w:ind w:left="0"/>
              <w:rPr>
                <w:sz w:val="16"/>
                <w:szCs w:val="16"/>
              </w:rPr>
            </w:pPr>
            <w:r w:rsidRPr="002B2AF6">
              <w:rPr>
                <w:sz w:val="16"/>
                <w:szCs w:val="16"/>
              </w:rPr>
              <w:t>3%</w:t>
            </w:r>
          </w:p>
        </w:tc>
      </w:tr>
      <w:tr w:rsidR="00C30221" w:rsidRPr="00616F22" w14:paraId="63615691" w14:textId="77777777" w:rsidTr="001223E5">
        <w:tc>
          <w:tcPr>
            <w:tcW w:w="2486" w:type="pct"/>
            <w:gridSpan w:val="2"/>
          </w:tcPr>
          <w:p w14:paraId="4976D152"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6E491E30" w14:textId="77777777" w:rsidR="00BF0D6C" w:rsidRPr="002B2AF6" w:rsidRDefault="004E4477" w:rsidP="00D23774">
            <w:pPr>
              <w:pStyle w:val="Rientrocorpodeltesto2"/>
              <w:tabs>
                <w:tab w:val="left" w:pos="1620"/>
              </w:tabs>
              <w:ind w:left="0"/>
              <w:rPr>
                <w:sz w:val="16"/>
                <w:szCs w:val="16"/>
              </w:rPr>
            </w:pPr>
            <w:r w:rsidRPr="002B2AF6">
              <w:rPr>
                <w:sz w:val="16"/>
                <w:szCs w:val="16"/>
              </w:rPr>
              <w:t>Costruzioni leggere</w:t>
            </w:r>
          </w:p>
        </w:tc>
        <w:tc>
          <w:tcPr>
            <w:tcW w:w="1106" w:type="pct"/>
            <w:gridSpan w:val="2"/>
          </w:tcPr>
          <w:p w14:paraId="06180AC2" w14:textId="77777777" w:rsidR="00BF0D6C" w:rsidRPr="002B2AF6" w:rsidRDefault="004E4477" w:rsidP="00D23774">
            <w:pPr>
              <w:pStyle w:val="Rientrocorpodeltesto2"/>
              <w:tabs>
                <w:tab w:val="left" w:pos="1620"/>
              </w:tabs>
              <w:ind w:left="0"/>
              <w:rPr>
                <w:sz w:val="16"/>
                <w:szCs w:val="16"/>
              </w:rPr>
            </w:pPr>
            <w:r w:rsidRPr="002B2AF6">
              <w:rPr>
                <w:sz w:val="16"/>
                <w:szCs w:val="16"/>
              </w:rPr>
              <w:t>10%</w:t>
            </w:r>
          </w:p>
        </w:tc>
      </w:tr>
      <w:tr w:rsidR="00C30221" w:rsidRPr="00616F22" w14:paraId="4A6A2B4B" w14:textId="77777777" w:rsidTr="001223E5">
        <w:tc>
          <w:tcPr>
            <w:tcW w:w="2486" w:type="pct"/>
            <w:gridSpan w:val="2"/>
          </w:tcPr>
          <w:p w14:paraId="2842EB51" w14:textId="77777777" w:rsidR="00BF0D6C" w:rsidRPr="008B18BE" w:rsidRDefault="00093F9D" w:rsidP="00D23774">
            <w:pPr>
              <w:pStyle w:val="Rientrocorpodeltesto2"/>
              <w:tabs>
                <w:tab w:val="left" w:pos="1620"/>
              </w:tabs>
              <w:ind w:left="0"/>
              <w:rPr>
                <w:b/>
                <w:sz w:val="14"/>
                <w:szCs w:val="14"/>
              </w:rPr>
            </w:pPr>
            <w:r w:rsidRPr="008B18BE">
              <w:rPr>
                <w:b/>
                <w:sz w:val="14"/>
                <w:szCs w:val="14"/>
              </w:rPr>
              <w:t>IMPIANTI E MACCHINARI</w:t>
            </w:r>
          </w:p>
        </w:tc>
        <w:tc>
          <w:tcPr>
            <w:tcW w:w="1408" w:type="pct"/>
            <w:gridSpan w:val="2"/>
          </w:tcPr>
          <w:p w14:paraId="2A4A58D2" w14:textId="77777777" w:rsidR="00BF0D6C" w:rsidRPr="002B2AF6" w:rsidRDefault="00BF0D6C" w:rsidP="00D23774">
            <w:pPr>
              <w:pStyle w:val="Rientrocorpodeltesto2"/>
              <w:tabs>
                <w:tab w:val="left" w:pos="1620"/>
              </w:tabs>
              <w:ind w:left="0"/>
              <w:rPr>
                <w:sz w:val="16"/>
                <w:szCs w:val="16"/>
              </w:rPr>
            </w:pPr>
          </w:p>
        </w:tc>
        <w:tc>
          <w:tcPr>
            <w:tcW w:w="1106" w:type="pct"/>
            <w:gridSpan w:val="2"/>
          </w:tcPr>
          <w:p w14:paraId="013E3454" w14:textId="77777777" w:rsidR="00BF0D6C" w:rsidRPr="002B2AF6" w:rsidRDefault="00BF0D6C" w:rsidP="00D23774">
            <w:pPr>
              <w:pStyle w:val="Rientrocorpodeltesto2"/>
              <w:tabs>
                <w:tab w:val="left" w:pos="1620"/>
              </w:tabs>
              <w:ind w:left="0"/>
              <w:rPr>
                <w:sz w:val="16"/>
                <w:szCs w:val="16"/>
              </w:rPr>
            </w:pPr>
          </w:p>
        </w:tc>
      </w:tr>
      <w:tr w:rsidR="00C30221" w:rsidRPr="00616F22" w14:paraId="21BC0D21" w14:textId="77777777" w:rsidTr="001223E5">
        <w:tc>
          <w:tcPr>
            <w:tcW w:w="2486" w:type="pct"/>
            <w:gridSpan w:val="2"/>
          </w:tcPr>
          <w:p w14:paraId="660BBF9A"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6BC256B4" w14:textId="77777777" w:rsidR="00BF0D6C" w:rsidRPr="002B2AF6" w:rsidRDefault="00093F9D" w:rsidP="00D23774">
            <w:pPr>
              <w:pStyle w:val="Rientrocorpodeltesto2"/>
              <w:tabs>
                <w:tab w:val="left" w:pos="1620"/>
              </w:tabs>
              <w:ind w:left="0"/>
              <w:rPr>
                <w:sz w:val="16"/>
                <w:szCs w:val="16"/>
              </w:rPr>
            </w:pPr>
            <w:r w:rsidRPr="002B2AF6">
              <w:rPr>
                <w:sz w:val="16"/>
                <w:szCs w:val="16"/>
              </w:rPr>
              <w:t>Autobus</w:t>
            </w:r>
          </w:p>
        </w:tc>
        <w:tc>
          <w:tcPr>
            <w:tcW w:w="1106" w:type="pct"/>
            <w:gridSpan w:val="2"/>
          </w:tcPr>
          <w:p w14:paraId="1985167A" w14:textId="77777777" w:rsidR="00BF0D6C" w:rsidRPr="002B2AF6" w:rsidRDefault="00093F9D" w:rsidP="00D23774">
            <w:pPr>
              <w:pStyle w:val="Rientrocorpodeltesto2"/>
              <w:tabs>
                <w:tab w:val="left" w:pos="1620"/>
              </w:tabs>
              <w:ind w:left="0"/>
              <w:rPr>
                <w:sz w:val="16"/>
                <w:szCs w:val="16"/>
              </w:rPr>
            </w:pPr>
            <w:r w:rsidRPr="002B2AF6">
              <w:rPr>
                <w:sz w:val="16"/>
                <w:szCs w:val="16"/>
              </w:rPr>
              <w:t>12,50%</w:t>
            </w:r>
          </w:p>
        </w:tc>
      </w:tr>
      <w:tr w:rsidR="00C30221" w:rsidRPr="00616F22" w14:paraId="39E55F72" w14:textId="77777777" w:rsidTr="001223E5">
        <w:tc>
          <w:tcPr>
            <w:tcW w:w="2486" w:type="pct"/>
            <w:gridSpan w:val="2"/>
          </w:tcPr>
          <w:p w14:paraId="4650776A"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180201D7" w14:textId="77777777" w:rsidR="00BF0D6C" w:rsidRPr="002B2AF6" w:rsidRDefault="00093F9D" w:rsidP="00D23774">
            <w:pPr>
              <w:pStyle w:val="Rientrocorpodeltesto2"/>
              <w:tabs>
                <w:tab w:val="left" w:pos="1620"/>
              </w:tabs>
              <w:ind w:left="0"/>
              <w:rPr>
                <w:sz w:val="16"/>
                <w:szCs w:val="16"/>
              </w:rPr>
            </w:pPr>
            <w:r w:rsidRPr="002B2AF6">
              <w:rPr>
                <w:sz w:val="16"/>
                <w:szCs w:val="16"/>
              </w:rPr>
              <w:t>Filobus</w:t>
            </w:r>
          </w:p>
        </w:tc>
        <w:tc>
          <w:tcPr>
            <w:tcW w:w="1106" w:type="pct"/>
            <w:gridSpan w:val="2"/>
          </w:tcPr>
          <w:p w14:paraId="200D50E7" w14:textId="77777777" w:rsidR="00BF0D6C" w:rsidRPr="002B2AF6" w:rsidRDefault="00093F9D" w:rsidP="00D23774">
            <w:pPr>
              <w:pStyle w:val="Rientrocorpodeltesto2"/>
              <w:tabs>
                <w:tab w:val="left" w:pos="1620"/>
              </w:tabs>
              <w:ind w:left="0"/>
              <w:rPr>
                <w:sz w:val="16"/>
                <w:szCs w:val="16"/>
              </w:rPr>
            </w:pPr>
            <w:r w:rsidRPr="002B2AF6">
              <w:rPr>
                <w:sz w:val="16"/>
                <w:szCs w:val="16"/>
              </w:rPr>
              <w:t>12,50%</w:t>
            </w:r>
          </w:p>
        </w:tc>
      </w:tr>
      <w:tr w:rsidR="00C30221" w:rsidRPr="00616F22" w14:paraId="5992958F" w14:textId="77777777" w:rsidTr="001223E5">
        <w:tc>
          <w:tcPr>
            <w:tcW w:w="2486" w:type="pct"/>
            <w:gridSpan w:val="2"/>
          </w:tcPr>
          <w:p w14:paraId="2F8B74BA"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1409D505" w14:textId="77777777" w:rsidR="00BF0D6C" w:rsidRPr="002B2AF6" w:rsidRDefault="00093F9D" w:rsidP="00D23774">
            <w:pPr>
              <w:pStyle w:val="Rientrocorpodeltesto2"/>
              <w:tabs>
                <w:tab w:val="left" w:pos="1620"/>
              </w:tabs>
              <w:ind w:left="0"/>
              <w:rPr>
                <w:sz w:val="16"/>
                <w:szCs w:val="16"/>
              </w:rPr>
            </w:pPr>
            <w:r w:rsidRPr="002B2AF6">
              <w:rPr>
                <w:sz w:val="16"/>
                <w:szCs w:val="16"/>
              </w:rPr>
              <w:t>Tram</w:t>
            </w:r>
          </w:p>
        </w:tc>
        <w:tc>
          <w:tcPr>
            <w:tcW w:w="1106" w:type="pct"/>
            <w:gridSpan w:val="2"/>
          </w:tcPr>
          <w:p w14:paraId="583DE54D" w14:textId="77777777" w:rsidR="00BF0D6C" w:rsidRPr="002B2AF6" w:rsidRDefault="00093F9D" w:rsidP="00D23774">
            <w:pPr>
              <w:pStyle w:val="Rientrocorpodeltesto2"/>
              <w:tabs>
                <w:tab w:val="left" w:pos="1620"/>
              </w:tabs>
              <w:ind w:left="0"/>
              <w:rPr>
                <w:sz w:val="16"/>
                <w:szCs w:val="16"/>
              </w:rPr>
            </w:pPr>
            <w:r w:rsidRPr="002B2AF6">
              <w:rPr>
                <w:sz w:val="16"/>
                <w:szCs w:val="16"/>
              </w:rPr>
              <w:t>5%</w:t>
            </w:r>
          </w:p>
        </w:tc>
      </w:tr>
      <w:tr w:rsidR="00C30221" w:rsidRPr="00616F22" w14:paraId="7F27E632" w14:textId="77777777" w:rsidTr="001223E5">
        <w:tc>
          <w:tcPr>
            <w:tcW w:w="2486" w:type="pct"/>
            <w:gridSpan w:val="2"/>
          </w:tcPr>
          <w:p w14:paraId="67807FF0"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47B91718" w14:textId="77777777" w:rsidR="00BF0D6C" w:rsidRPr="002B2AF6" w:rsidRDefault="00093F9D" w:rsidP="00D23774">
            <w:pPr>
              <w:pStyle w:val="Rientrocorpodeltesto2"/>
              <w:tabs>
                <w:tab w:val="left" w:pos="1620"/>
              </w:tabs>
              <w:ind w:left="0"/>
              <w:rPr>
                <w:sz w:val="16"/>
                <w:szCs w:val="16"/>
              </w:rPr>
            </w:pPr>
            <w:r w:rsidRPr="002B2AF6">
              <w:rPr>
                <w:sz w:val="16"/>
                <w:szCs w:val="16"/>
              </w:rPr>
              <w:t>Carrelli per tram</w:t>
            </w:r>
          </w:p>
        </w:tc>
        <w:tc>
          <w:tcPr>
            <w:tcW w:w="1106" w:type="pct"/>
            <w:gridSpan w:val="2"/>
          </w:tcPr>
          <w:p w14:paraId="22B7C5B1" w14:textId="77777777" w:rsidR="00BF0D6C" w:rsidRPr="002B2AF6" w:rsidRDefault="00093F9D" w:rsidP="00D23774">
            <w:pPr>
              <w:pStyle w:val="Rientrocorpodeltesto2"/>
              <w:tabs>
                <w:tab w:val="left" w:pos="1620"/>
              </w:tabs>
              <w:ind w:left="0"/>
              <w:rPr>
                <w:sz w:val="16"/>
                <w:szCs w:val="16"/>
              </w:rPr>
            </w:pPr>
            <w:r w:rsidRPr="002B2AF6">
              <w:rPr>
                <w:sz w:val="16"/>
                <w:szCs w:val="16"/>
              </w:rPr>
              <w:t>5%</w:t>
            </w:r>
          </w:p>
        </w:tc>
      </w:tr>
      <w:tr w:rsidR="00C30221" w:rsidRPr="00616F22" w14:paraId="50BAD537" w14:textId="77777777" w:rsidTr="001223E5">
        <w:tc>
          <w:tcPr>
            <w:tcW w:w="2486" w:type="pct"/>
            <w:gridSpan w:val="2"/>
          </w:tcPr>
          <w:p w14:paraId="38B716A2"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62EC121A" w14:textId="77777777" w:rsidR="00BF0D6C" w:rsidRPr="002B2AF6" w:rsidRDefault="00093F9D" w:rsidP="00D23774">
            <w:pPr>
              <w:pStyle w:val="Rientrocorpodeltesto2"/>
              <w:tabs>
                <w:tab w:val="left" w:pos="1620"/>
              </w:tabs>
              <w:ind w:left="0"/>
              <w:rPr>
                <w:sz w:val="16"/>
                <w:szCs w:val="16"/>
              </w:rPr>
            </w:pPr>
            <w:r w:rsidRPr="002B2AF6">
              <w:rPr>
                <w:sz w:val="16"/>
                <w:szCs w:val="16"/>
              </w:rPr>
              <w:t>Armamento tramviario</w:t>
            </w:r>
          </w:p>
        </w:tc>
        <w:tc>
          <w:tcPr>
            <w:tcW w:w="1106" w:type="pct"/>
            <w:gridSpan w:val="2"/>
          </w:tcPr>
          <w:p w14:paraId="157F53B4" w14:textId="77777777" w:rsidR="00BF0D6C" w:rsidRPr="002B2AF6" w:rsidRDefault="00093F9D" w:rsidP="00D23774">
            <w:pPr>
              <w:pStyle w:val="Rientrocorpodeltesto2"/>
              <w:tabs>
                <w:tab w:val="left" w:pos="1620"/>
              </w:tabs>
              <w:ind w:left="0"/>
              <w:rPr>
                <w:sz w:val="16"/>
                <w:szCs w:val="16"/>
              </w:rPr>
            </w:pPr>
            <w:r w:rsidRPr="002B2AF6">
              <w:rPr>
                <w:sz w:val="16"/>
                <w:szCs w:val="16"/>
              </w:rPr>
              <w:t>10%</w:t>
            </w:r>
          </w:p>
        </w:tc>
      </w:tr>
      <w:tr w:rsidR="00C30221" w:rsidRPr="00616F22" w14:paraId="6628BD94" w14:textId="77777777" w:rsidTr="001223E5">
        <w:tc>
          <w:tcPr>
            <w:tcW w:w="2486" w:type="pct"/>
            <w:gridSpan w:val="2"/>
          </w:tcPr>
          <w:p w14:paraId="2A927AFE"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50853E36" w14:textId="77777777" w:rsidR="00BF0D6C" w:rsidRPr="002B2AF6" w:rsidRDefault="00093F9D" w:rsidP="00D23774">
            <w:pPr>
              <w:pStyle w:val="Rientrocorpodeltesto2"/>
              <w:tabs>
                <w:tab w:val="left" w:pos="1620"/>
              </w:tabs>
              <w:ind w:left="0"/>
              <w:rPr>
                <w:sz w:val="16"/>
                <w:szCs w:val="16"/>
              </w:rPr>
            </w:pPr>
            <w:r w:rsidRPr="002B2AF6">
              <w:rPr>
                <w:sz w:val="16"/>
                <w:szCs w:val="16"/>
              </w:rPr>
              <w:t>Macchinari</w:t>
            </w:r>
          </w:p>
        </w:tc>
        <w:tc>
          <w:tcPr>
            <w:tcW w:w="1106" w:type="pct"/>
            <w:gridSpan w:val="2"/>
          </w:tcPr>
          <w:p w14:paraId="22B07297" w14:textId="77777777" w:rsidR="00BF0D6C" w:rsidRPr="002B2AF6" w:rsidRDefault="00093F9D" w:rsidP="00D23774">
            <w:pPr>
              <w:pStyle w:val="Rientrocorpodeltesto2"/>
              <w:tabs>
                <w:tab w:val="left" w:pos="1620"/>
              </w:tabs>
              <w:ind w:left="0"/>
              <w:rPr>
                <w:sz w:val="16"/>
                <w:szCs w:val="16"/>
              </w:rPr>
            </w:pPr>
            <w:r w:rsidRPr="002B2AF6">
              <w:rPr>
                <w:sz w:val="16"/>
                <w:szCs w:val="16"/>
              </w:rPr>
              <w:t>10%</w:t>
            </w:r>
          </w:p>
        </w:tc>
      </w:tr>
      <w:tr w:rsidR="00C30221" w:rsidRPr="00616F22" w14:paraId="17037B8E" w14:textId="77777777" w:rsidTr="001223E5">
        <w:tc>
          <w:tcPr>
            <w:tcW w:w="2486" w:type="pct"/>
            <w:gridSpan w:val="2"/>
          </w:tcPr>
          <w:p w14:paraId="43FDD5D8"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7C019BB4" w14:textId="77777777" w:rsidR="00BF0D6C" w:rsidRPr="002B2AF6" w:rsidRDefault="00093F9D" w:rsidP="00D23774">
            <w:pPr>
              <w:pStyle w:val="Rientrocorpodeltesto2"/>
              <w:tabs>
                <w:tab w:val="left" w:pos="1620"/>
              </w:tabs>
              <w:ind w:left="0"/>
              <w:rPr>
                <w:sz w:val="16"/>
                <w:szCs w:val="16"/>
              </w:rPr>
            </w:pPr>
            <w:r w:rsidRPr="002B2AF6">
              <w:rPr>
                <w:sz w:val="16"/>
                <w:szCs w:val="16"/>
              </w:rPr>
              <w:t>Impianti area TPL</w:t>
            </w:r>
          </w:p>
        </w:tc>
        <w:tc>
          <w:tcPr>
            <w:tcW w:w="1106" w:type="pct"/>
            <w:gridSpan w:val="2"/>
          </w:tcPr>
          <w:p w14:paraId="64BF393B" w14:textId="77777777" w:rsidR="00BF0D6C" w:rsidRPr="002B2AF6" w:rsidRDefault="00093F9D" w:rsidP="00D23774">
            <w:pPr>
              <w:pStyle w:val="Rientrocorpodeltesto2"/>
              <w:tabs>
                <w:tab w:val="left" w:pos="1620"/>
              </w:tabs>
              <w:ind w:left="0"/>
              <w:rPr>
                <w:sz w:val="16"/>
                <w:szCs w:val="16"/>
              </w:rPr>
            </w:pPr>
            <w:r w:rsidRPr="002B2AF6">
              <w:rPr>
                <w:sz w:val="16"/>
                <w:szCs w:val="16"/>
              </w:rPr>
              <w:t>10%</w:t>
            </w:r>
          </w:p>
        </w:tc>
      </w:tr>
      <w:tr w:rsidR="00C30221" w:rsidRPr="00616F22" w14:paraId="1E72C497" w14:textId="77777777" w:rsidTr="001223E5">
        <w:tc>
          <w:tcPr>
            <w:tcW w:w="2486" w:type="pct"/>
            <w:gridSpan w:val="2"/>
          </w:tcPr>
          <w:p w14:paraId="7BA7B85F"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6C5900C8" w14:textId="77777777" w:rsidR="00BF0D6C" w:rsidRPr="002B2AF6" w:rsidRDefault="00093F9D" w:rsidP="00D23774">
            <w:pPr>
              <w:pStyle w:val="Rientrocorpodeltesto2"/>
              <w:tabs>
                <w:tab w:val="left" w:pos="1620"/>
              </w:tabs>
              <w:ind w:left="0"/>
              <w:rPr>
                <w:sz w:val="16"/>
                <w:szCs w:val="16"/>
              </w:rPr>
            </w:pPr>
            <w:r w:rsidRPr="002B2AF6">
              <w:rPr>
                <w:sz w:val="16"/>
                <w:szCs w:val="16"/>
              </w:rPr>
              <w:t>Impianti area s</w:t>
            </w:r>
            <w:r w:rsidR="00995C64" w:rsidRPr="002B2AF6">
              <w:rPr>
                <w:sz w:val="16"/>
                <w:szCs w:val="16"/>
              </w:rPr>
              <w:t>osta</w:t>
            </w:r>
          </w:p>
        </w:tc>
        <w:tc>
          <w:tcPr>
            <w:tcW w:w="1106" w:type="pct"/>
            <w:gridSpan w:val="2"/>
          </w:tcPr>
          <w:p w14:paraId="2D7FE4A1" w14:textId="77777777" w:rsidR="00BF0D6C" w:rsidRPr="002B2AF6" w:rsidRDefault="00995C64" w:rsidP="00D23774">
            <w:pPr>
              <w:pStyle w:val="Rientrocorpodeltesto2"/>
              <w:tabs>
                <w:tab w:val="left" w:pos="1620"/>
              </w:tabs>
              <w:ind w:left="0"/>
              <w:rPr>
                <w:sz w:val="16"/>
                <w:szCs w:val="16"/>
              </w:rPr>
            </w:pPr>
            <w:r w:rsidRPr="002B2AF6">
              <w:rPr>
                <w:sz w:val="16"/>
                <w:szCs w:val="16"/>
              </w:rPr>
              <w:t>10</w:t>
            </w:r>
            <w:r w:rsidR="00093F9D" w:rsidRPr="002B2AF6">
              <w:rPr>
                <w:sz w:val="16"/>
                <w:szCs w:val="16"/>
              </w:rPr>
              <w:t>%</w:t>
            </w:r>
          </w:p>
        </w:tc>
      </w:tr>
      <w:tr w:rsidR="00C30221" w:rsidRPr="00616F22" w14:paraId="23E52F4F" w14:textId="77777777" w:rsidTr="001223E5">
        <w:tc>
          <w:tcPr>
            <w:tcW w:w="2486" w:type="pct"/>
            <w:gridSpan w:val="2"/>
          </w:tcPr>
          <w:p w14:paraId="33EC8F00"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1536CB0B" w14:textId="77777777" w:rsidR="00BF0D6C" w:rsidRPr="002B2AF6" w:rsidRDefault="00093F9D" w:rsidP="00D23774">
            <w:pPr>
              <w:pStyle w:val="Rientrocorpodeltesto2"/>
              <w:tabs>
                <w:tab w:val="left" w:pos="1620"/>
              </w:tabs>
              <w:ind w:left="0"/>
              <w:rPr>
                <w:sz w:val="16"/>
                <w:szCs w:val="16"/>
              </w:rPr>
            </w:pPr>
            <w:r w:rsidRPr="002B2AF6">
              <w:rPr>
                <w:sz w:val="16"/>
                <w:szCs w:val="16"/>
              </w:rPr>
              <w:t xml:space="preserve">Impianti </w:t>
            </w:r>
            <w:r w:rsidR="00BC5E06">
              <w:rPr>
                <w:sz w:val="16"/>
                <w:szCs w:val="16"/>
              </w:rPr>
              <w:t>etto metrici</w:t>
            </w:r>
          </w:p>
        </w:tc>
        <w:tc>
          <w:tcPr>
            <w:tcW w:w="1106" w:type="pct"/>
            <w:gridSpan w:val="2"/>
          </w:tcPr>
          <w:p w14:paraId="721828E1" w14:textId="77777777" w:rsidR="00BF0D6C" w:rsidRPr="002B2AF6" w:rsidRDefault="00093F9D" w:rsidP="00D23774">
            <w:pPr>
              <w:pStyle w:val="Rientrocorpodeltesto2"/>
              <w:tabs>
                <w:tab w:val="left" w:pos="1620"/>
              </w:tabs>
              <w:ind w:left="0"/>
              <w:rPr>
                <w:sz w:val="16"/>
                <w:szCs w:val="16"/>
              </w:rPr>
            </w:pPr>
            <w:r w:rsidRPr="002B2AF6">
              <w:rPr>
                <w:sz w:val="16"/>
                <w:szCs w:val="16"/>
              </w:rPr>
              <w:t>20%</w:t>
            </w:r>
          </w:p>
        </w:tc>
      </w:tr>
      <w:tr w:rsidR="00C30221" w:rsidRPr="00616F22" w14:paraId="7DA905BC" w14:textId="77777777" w:rsidTr="001223E5">
        <w:tc>
          <w:tcPr>
            <w:tcW w:w="2486" w:type="pct"/>
            <w:gridSpan w:val="2"/>
          </w:tcPr>
          <w:p w14:paraId="2A54AF02"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0DCABA3E" w14:textId="77777777" w:rsidR="00BF0D6C" w:rsidRPr="002B2AF6" w:rsidRDefault="00093F9D" w:rsidP="00D23774">
            <w:pPr>
              <w:pStyle w:val="Rientrocorpodeltesto2"/>
              <w:tabs>
                <w:tab w:val="left" w:pos="1620"/>
              </w:tabs>
              <w:ind w:left="0"/>
              <w:rPr>
                <w:sz w:val="16"/>
                <w:szCs w:val="16"/>
              </w:rPr>
            </w:pPr>
            <w:r w:rsidRPr="002B2AF6">
              <w:rPr>
                <w:sz w:val="16"/>
                <w:szCs w:val="16"/>
              </w:rPr>
              <w:t>Impianti rete aerea/rete cavi</w:t>
            </w:r>
          </w:p>
        </w:tc>
        <w:tc>
          <w:tcPr>
            <w:tcW w:w="1106" w:type="pct"/>
            <w:gridSpan w:val="2"/>
          </w:tcPr>
          <w:p w14:paraId="3557A02F" w14:textId="77777777" w:rsidR="00BF0D6C" w:rsidRPr="002B2AF6" w:rsidRDefault="00093F9D" w:rsidP="00D23774">
            <w:pPr>
              <w:pStyle w:val="Rientrocorpodeltesto2"/>
              <w:tabs>
                <w:tab w:val="left" w:pos="1620"/>
              </w:tabs>
              <w:ind w:left="0"/>
              <w:rPr>
                <w:sz w:val="16"/>
                <w:szCs w:val="16"/>
              </w:rPr>
            </w:pPr>
            <w:r w:rsidRPr="002B2AF6">
              <w:rPr>
                <w:sz w:val="16"/>
                <w:szCs w:val="16"/>
              </w:rPr>
              <w:t>15%</w:t>
            </w:r>
          </w:p>
        </w:tc>
      </w:tr>
      <w:tr w:rsidR="00C30221" w:rsidRPr="00616F22" w14:paraId="71BB22AF" w14:textId="77777777" w:rsidTr="001223E5">
        <w:tc>
          <w:tcPr>
            <w:tcW w:w="2486" w:type="pct"/>
            <w:gridSpan w:val="2"/>
          </w:tcPr>
          <w:p w14:paraId="584DF542"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41C6B779" w14:textId="77777777" w:rsidR="00BF0D6C" w:rsidRPr="002B2AF6" w:rsidRDefault="00093F9D" w:rsidP="00D23774">
            <w:pPr>
              <w:pStyle w:val="Rientrocorpodeltesto2"/>
              <w:tabs>
                <w:tab w:val="left" w:pos="1620"/>
              </w:tabs>
              <w:ind w:left="0"/>
              <w:rPr>
                <w:sz w:val="16"/>
                <w:szCs w:val="16"/>
              </w:rPr>
            </w:pPr>
            <w:r w:rsidRPr="002B2AF6">
              <w:rPr>
                <w:sz w:val="16"/>
                <w:szCs w:val="16"/>
              </w:rPr>
              <w:t>Banco prova motori</w:t>
            </w:r>
          </w:p>
        </w:tc>
        <w:tc>
          <w:tcPr>
            <w:tcW w:w="1106" w:type="pct"/>
            <w:gridSpan w:val="2"/>
          </w:tcPr>
          <w:p w14:paraId="7F797645" w14:textId="77777777" w:rsidR="00BF0D6C" w:rsidRPr="002B2AF6" w:rsidRDefault="00093F9D" w:rsidP="00D23774">
            <w:pPr>
              <w:pStyle w:val="Rientrocorpodeltesto2"/>
              <w:tabs>
                <w:tab w:val="left" w:pos="1620"/>
              </w:tabs>
              <w:ind w:left="0"/>
              <w:rPr>
                <w:sz w:val="16"/>
                <w:szCs w:val="16"/>
              </w:rPr>
            </w:pPr>
            <w:r w:rsidRPr="002B2AF6">
              <w:rPr>
                <w:sz w:val="16"/>
                <w:szCs w:val="16"/>
              </w:rPr>
              <w:t>10%</w:t>
            </w:r>
          </w:p>
        </w:tc>
      </w:tr>
      <w:tr w:rsidR="00C30221" w:rsidRPr="00616F22" w14:paraId="157BA59E" w14:textId="77777777" w:rsidTr="001223E5">
        <w:tc>
          <w:tcPr>
            <w:tcW w:w="2486" w:type="pct"/>
            <w:gridSpan w:val="2"/>
          </w:tcPr>
          <w:p w14:paraId="332E89E3"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1B6C9C1D" w14:textId="77777777" w:rsidR="00BF0D6C" w:rsidRPr="002B2AF6" w:rsidRDefault="00093F9D" w:rsidP="00D23774">
            <w:pPr>
              <w:pStyle w:val="Rientrocorpodeltesto2"/>
              <w:tabs>
                <w:tab w:val="left" w:pos="1620"/>
              </w:tabs>
              <w:ind w:left="0"/>
              <w:rPr>
                <w:sz w:val="16"/>
                <w:szCs w:val="16"/>
              </w:rPr>
            </w:pPr>
            <w:r w:rsidRPr="002B2AF6">
              <w:rPr>
                <w:sz w:val="16"/>
                <w:szCs w:val="16"/>
              </w:rPr>
              <w:t>Obliteratrici</w:t>
            </w:r>
          </w:p>
        </w:tc>
        <w:tc>
          <w:tcPr>
            <w:tcW w:w="1106" w:type="pct"/>
            <w:gridSpan w:val="2"/>
          </w:tcPr>
          <w:p w14:paraId="30ADC56D" w14:textId="77777777" w:rsidR="00BF0D6C" w:rsidRPr="002B2AF6" w:rsidRDefault="00093F9D" w:rsidP="00D23774">
            <w:pPr>
              <w:pStyle w:val="Rientrocorpodeltesto2"/>
              <w:tabs>
                <w:tab w:val="left" w:pos="1620"/>
              </w:tabs>
              <w:ind w:left="0"/>
              <w:rPr>
                <w:sz w:val="16"/>
                <w:szCs w:val="16"/>
              </w:rPr>
            </w:pPr>
            <w:r w:rsidRPr="002B2AF6">
              <w:rPr>
                <w:sz w:val="16"/>
                <w:szCs w:val="16"/>
              </w:rPr>
              <w:t>20%</w:t>
            </w:r>
          </w:p>
        </w:tc>
      </w:tr>
      <w:tr w:rsidR="00C30221" w:rsidRPr="00616F22" w14:paraId="75DC4C08" w14:textId="77777777" w:rsidTr="001223E5">
        <w:tc>
          <w:tcPr>
            <w:tcW w:w="2486" w:type="pct"/>
            <w:gridSpan w:val="2"/>
          </w:tcPr>
          <w:p w14:paraId="438D48A8"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1E293FF5" w14:textId="77777777" w:rsidR="00BF0D6C" w:rsidRPr="002B2AF6" w:rsidRDefault="00093F9D" w:rsidP="00D23774">
            <w:pPr>
              <w:pStyle w:val="Rientrocorpodeltesto2"/>
              <w:tabs>
                <w:tab w:val="left" w:pos="1620"/>
              </w:tabs>
              <w:ind w:left="0"/>
              <w:rPr>
                <w:sz w:val="16"/>
                <w:szCs w:val="16"/>
              </w:rPr>
            </w:pPr>
            <w:r w:rsidRPr="002B2AF6">
              <w:rPr>
                <w:sz w:val="16"/>
                <w:szCs w:val="16"/>
              </w:rPr>
              <w:t>Impianti Telecomunicazione</w:t>
            </w:r>
          </w:p>
        </w:tc>
        <w:tc>
          <w:tcPr>
            <w:tcW w:w="1106" w:type="pct"/>
            <w:gridSpan w:val="2"/>
          </w:tcPr>
          <w:p w14:paraId="2F875533" w14:textId="77777777" w:rsidR="00BF0D6C" w:rsidRPr="002B2AF6" w:rsidRDefault="00093F9D" w:rsidP="00D23774">
            <w:pPr>
              <w:pStyle w:val="Rientrocorpodeltesto2"/>
              <w:tabs>
                <w:tab w:val="left" w:pos="1620"/>
              </w:tabs>
              <w:ind w:left="0"/>
              <w:rPr>
                <w:sz w:val="16"/>
                <w:szCs w:val="16"/>
              </w:rPr>
            </w:pPr>
            <w:r w:rsidRPr="002B2AF6">
              <w:rPr>
                <w:sz w:val="16"/>
                <w:szCs w:val="16"/>
              </w:rPr>
              <w:t>20%</w:t>
            </w:r>
          </w:p>
        </w:tc>
      </w:tr>
      <w:tr w:rsidR="00C30221" w:rsidRPr="00616F22" w14:paraId="4043EF64" w14:textId="77777777" w:rsidTr="001223E5">
        <w:tc>
          <w:tcPr>
            <w:tcW w:w="2486" w:type="pct"/>
            <w:gridSpan w:val="2"/>
          </w:tcPr>
          <w:p w14:paraId="1F5DCC30" w14:textId="77777777" w:rsidR="00BF0D6C" w:rsidRPr="008B18BE" w:rsidRDefault="008B18BE" w:rsidP="008B18BE">
            <w:pPr>
              <w:pStyle w:val="Rientrocorpodeltesto2"/>
              <w:tabs>
                <w:tab w:val="left" w:pos="1620"/>
              </w:tabs>
              <w:ind w:left="0"/>
              <w:rPr>
                <w:b/>
                <w:sz w:val="14"/>
                <w:szCs w:val="14"/>
              </w:rPr>
            </w:pPr>
            <w:r w:rsidRPr="008B18BE">
              <w:rPr>
                <w:b/>
                <w:sz w:val="14"/>
                <w:szCs w:val="14"/>
              </w:rPr>
              <w:t>ATTREZZATURE IND.LI E COMM.LI</w:t>
            </w:r>
          </w:p>
        </w:tc>
        <w:tc>
          <w:tcPr>
            <w:tcW w:w="1408" w:type="pct"/>
            <w:gridSpan w:val="2"/>
          </w:tcPr>
          <w:p w14:paraId="6C6F1BE3" w14:textId="77777777" w:rsidR="00BF0D6C" w:rsidRPr="002B2AF6" w:rsidRDefault="00BF0D6C" w:rsidP="00D23774">
            <w:pPr>
              <w:pStyle w:val="Rientrocorpodeltesto2"/>
              <w:tabs>
                <w:tab w:val="left" w:pos="1620"/>
              </w:tabs>
              <w:ind w:left="0"/>
              <w:rPr>
                <w:sz w:val="16"/>
                <w:szCs w:val="16"/>
              </w:rPr>
            </w:pPr>
          </w:p>
        </w:tc>
        <w:tc>
          <w:tcPr>
            <w:tcW w:w="1106" w:type="pct"/>
            <w:gridSpan w:val="2"/>
          </w:tcPr>
          <w:p w14:paraId="7D8DB41E" w14:textId="77777777" w:rsidR="00BF0D6C" w:rsidRPr="002B2AF6" w:rsidRDefault="00BF0D6C" w:rsidP="00D23774">
            <w:pPr>
              <w:pStyle w:val="Rientrocorpodeltesto2"/>
              <w:tabs>
                <w:tab w:val="left" w:pos="1620"/>
              </w:tabs>
              <w:ind w:left="0"/>
              <w:rPr>
                <w:sz w:val="16"/>
                <w:szCs w:val="16"/>
              </w:rPr>
            </w:pPr>
          </w:p>
        </w:tc>
      </w:tr>
      <w:tr w:rsidR="00C30221" w:rsidRPr="00616F22" w14:paraId="0AB675A6" w14:textId="77777777" w:rsidTr="001223E5">
        <w:tc>
          <w:tcPr>
            <w:tcW w:w="2486" w:type="pct"/>
            <w:gridSpan w:val="2"/>
          </w:tcPr>
          <w:p w14:paraId="094398FC"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0150C43B" w14:textId="77777777" w:rsidR="00BF0D6C" w:rsidRPr="002B2AF6" w:rsidRDefault="00093F9D" w:rsidP="00D23774">
            <w:pPr>
              <w:pStyle w:val="Rientrocorpodeltesto2"/>
              <w:tabs>
                <w:tab w:val="left" w:pos="1620"/>
              </w:tabs>
              <w:ind w:left="0"/>
              <w:rPr>
                <w:sz w:val="16"/>
                <w:szCs w:val="16"/>
              </w:rPr>
            </w:pPr>
            <w:r w:rsidRPr="002B2AF6">
              <w:rPr>
                <w:sz w:val="16"/>
                <w:szCs w:val="16"/>
              </w:rPr>
              <w:t>Attrezzature varia ramo gomma</w:t>
            </w:r>
          </w:p>
        </w:tc>
        <w:tc>
          <w:tcPr>
            <w:tcW w:w="1106" w:type="pct"/>
            <w:gridSpan w:val="2"/>
          </w:tcPr>
          <w:p w14:paraId="1284C641" w14:textId="77777777" w:rsidR="00BF0D6C" w:rsidRPr="002B2AF6" w:rsidRDefault="00093F9D" w:rsidP="00D23774">
            <w:pPr>
              <w:pStyle w:val="Rientrocorpodeltesto2"/>
              <w:tabs>
                <w:tab w:val="left" w:pos="1620"/>
              </w:tabs>
              <w:ind w:left="0"/>
              <w:rPr>
                <w:sz w:val="16"/>
                <w:szCs w:val="16"/>
              </w:rPr>
            </w:pPr>
            <w:r w:rsidRPr="002B2AF6">
              <w:rPr>
                <w:sz w:val="16"/>
                <w:szCs w:val="16"/>
              </w:rPr>
              <w:t>10%</w:t>
            </w:r>
          </w:p>
        </w:tc>
      </w:tr>
      <w:tr w:rsidR="00C30221" w:rsidRPr="00616F22" w14:paraId="5B3982C7" w14:textId="77777777" w:rsidTr="001223E5">
        <w:tc>
          <w:tcPr>
            <w:tcW w:w="2486" w:type="pct"/>
            <w:gridSpan w:val="2"/>
          </w:tcPr>
          <w:p w14:paraId="14CC0B9B"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72E5EE2B" w14:textId="77777777" w:rsidR="00BF0D6C" w:rsidRPr="002B2AF6" w:rsidRDefault="00093F9D" w:rsidP="00D23774">
            <w:pPr>
              <w:pStyle w:val="Rientrocorpodeltesto2"/>
              <w:tabs>
                <w:tab w:val="left" w:pos="1620"/>
              </w:tabs>
              <w:ind w:left="0"/>
              <w:rPr>
                <w:sz w:val="16"/>
                <w:szCs w:val="16"/>
              </w:rPr>
            </w:pPr>
            <w:r w:rsidRPr="002B2AF6">
              <w:rPr>
                <w:sz w:val="16"/>
                <w:szCs w:val="16"/>
              </w:rPr>
              <w:t>Attrezzature varia ramo ferro</w:t>
            </w:r>
          </w:p>
        </w:tc>
        <w:tc>
          <w:tcPr>
            <w:tcW w:w="1106" w:type="pct"/>
            <w:gridSpan w:val="2"/>
          </w:tcPr>
          <w:p w14:paraId="79EEDA4C" w14:textId="77777777" w:rsidR="00BF0D6C" w:rsidRPr="002B2AF6" w:rsidRDefault="00093F9D" w:rsidP="00D23774">
            <w:pPr>
              <w:pStyle w:val="Rientrocorpodeltesto2"/>
              <w:tabs>
                <w:tab w:val="left" w:pos="1620"/>
              </w:tabs>
              <w:ind w:left="0"/>
              <w:rPr>
                <w:sz w:val="16"/>
                <w:szCs w:val="16"/>
              </w:rPr>
            </w:pPr>
            <w:r w:rsidRPr="002B2AF6">
              <w:rPr>
                <w:sz w:val="16"/>
                <w:szCs w:val="16"/>
              </w:rPr>
              <w:t>12%</w:t>
            </w:r>
          </w:p>
        </w:tc>
      </w:tr>
      <w:tr w:rsidR="00C30221" w:rsidRPr="00616F22" w14:paraId="5754EDFD" w14:textId="77777777" w:rsidTr="001223E5">
        <w:tc>
          <w:tcPr>
            <w:tcW w:w="2486" w:type="pct"/>
            <w:gridSpan w:val="2"/>
          </w:tcPr>
          <w:p w14:paraId="485AFF28"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65FB8CD4" w14:textId="77777777" w:rsidR="00BF0D6C" w:rsidRPr="002B2AF6" w:rsidRDefault="00093F9D" w:rsidP="00D23774">
            <w:pPr>
              <w:pStyle w:val="Rientrocorpodeltesto2"/>
              <w:tabs>
                <w:tab w:val="left" w:pos="1620"/>
              </w:tabs>
              <w:ind w:left="0"/>
              <w:rPr>
                <w:sz w:val="16"/>
                <w:szCs w:val="16"/>
              </w:rPr>
            </w:pPr>
            <w:r w:rsidRPr="002B2AF6">
              <w:rPr>
                <w:sz w:val="16"/>
                <w:szCs w:val="16"/>
              </w:rPr>
              <w:t>Attrezzature varia ramo servizi alla mobilità</w:t>
            </w:r>
          </w:p>
        </w:tc>
        <w:tc>
          <w:tcPr>
            <w:tcW w:w="1106" w:type="pct"/>
            <w:gridSpan w:val="2"/>
          </w:tcPr>
          <w:p w14:paraId="7E567F0C" w14:textId="77777777" w:rsidR="00BF0D6C" w:rsidRPr="002B2AF6" w:rsidRDefault="00093F9D" w:rsidP="00D23774">
            <w:pPr>
              <w:pStyle w:val="Rientrocorpodeltesto2"/>
              <w:tabs>
                <w:tab w:val="left" w:pos="1620"/>
              </w:tabs>
              <w:ind w:left="0"/>
              <w:rPr>
                <w:sz w:val="16"/>
                <w:szCs w:val="16"/>
              </w:rPr>
            </w:pPr>
            <w:r w:rsidRPr="002B2AF6">
              <w:rPr>
                <w:sz w:val="16"/>
                <w:szCs w:val="16"/>
              </w:rPr>
              <w:t>15%</w:t>
            </w:r>
          </w:p>
        </w:tc>
      </w:tr>
      <w:tr w:rsidR="00C30221" w:rsidRPr="00616F22" w14:paraId="4E7B88A8" w14:textId="77777777" w:rsidTr="001223E5">
        <w:tc>
          <w:tcPr>
            <w:tcW w:w="2486" w:type="pct"/>
            <w:gridSpan w:val="2"/>
          </w:tcPr>
          <w:p w14:paraId="703ADBD9"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1D1104FA" w14:textId="77777777" w:rsidR="00BF0D6C" w:rsidRPr="002B2AF6" w:rsidRDefault="00093F9D" w:rsidP="00D23774">
            <w:pPr>
              <w:pStyle w:val="Rientrocorpodeltesto2"/>
              <w:tabs>
                <w:tab w:val="left" w:pos="1620"/>
              </w:tabs>
              <w:ind w:left="0"/>
              <w:rPr>
                <w:sz w:val="16"/>
                <w:szCs w:val="16"/>
              </w:rPr>
            </w:pPr>
            <w:r w:rsidRPr="002B2AF6">
              <w:rPr>
                <w:sz w:val="16"/>
                <w:szCs w:val="16"/>
              </w:rPr>
              <w:t>Mobili e arredi</w:t>
            </w:r>
          </w:p>
        </w:tc>
        <w:tc>
          <w:tcPr>
            <w:tcW w:w="1106" w:type="pct"/>
            <w:gridSpan w:val="2"/>
          </w:tcPr>
          <w:p w14:paraId="30F8A916" w14:textId="77777777" w:rsidR="00BF0D6C" w:rsidRPr="002B2AF6" w:rsidRDefault="00093F9D" w:rsidP="00D23774">
            <w:pPr>
              <w:pStyle w:val="Rientrocorpodeltesto2"/>
              <w:tabs>
                <w:tab w:val="left" w:pos="1620"/>
              </w:tabs>
              <w:ind w:left="0"/>
              <w:rPr>
                <w:sz w:val="16"/>
                <w:szCs w:val="16"/>
              </w:rPr>
            </w:pPr>
            <w:r w:rsidRPr="002B2AF6">
              <w:rPr>
                <w:sz w:val="16"/>
                <w:szCs w:val="16"/>
              </w:rPr>
              <w:t>12%</w:t>
            </w:r>
          </w:p>
        </w:tc>
      </w:tr>
      <w:tr w:rsidR="00C30221" w:rsidRPr="00616F22" w14:paraId="64F3F3E4" w14:textId="77777777" w:rsidTr="001223E5">
        <w:tc>
          <w:tcPr>
            <w:tcW w:w="2486" w:type="pct"/>
            <w:gridSpan w:val="2"/>
          </w:tcPr>
          <w:p w14:paraId="743682CC" w14:textId="77777777" w:rsidR="00BF0D6C" w:rsidRPr="002B2AF6" w:rsidRDefault="00BF0D6C" w:rsidP="00D23774">
            <w:pPr>
              <w:pStyle w:val="Rientrocorpodeltesto2"/>
              <w:tabs>
                <w:tab w:val="left" w:pos="1620"/>
              </w:tabs>
              <w:ind w:left="0"/>
              <w:rPr>
                <w:sz w:val="16"/>
                <w:szCs w:val="16"/>
              </w:rPr>
            </w:pPr>
          </w:p>
        </w:tc>
        <w:tc>
          <w:tcPr>
            <w:tcW w:w="1408" w:type="pct"/>
            <w:gridSpan w:val="2"/>
          </w:tcPr>
          <w:p w14:paraId="6A44D048" w14:textId="77777777" w:rsidR="00BF0D6C" w:rsidRPr="002B2AF6" w:rsidRDefault="00093F9D" w:rsidP="00D23774">
            <w:pPr>
              <w:pStyle w:val="Rientrocorpodeltesto2"/>
              <w:tabs>
                <w:tab w:val="left" w:pos="1620"/>
              </w:tabs>
              <w:ind w:left="0"/>
              <w:rPr>
                <w:sz w:val="16"/>
                <w:szCs w:val="16"/>
              </w:rPr>
            </w:pPr>
            <w:r w:rsidRPr="002B2AF6">
              <w:rPr>
                <w:sz w:val="16"/>
                <w:szCs w:val="16"/>
              </w:rPr>
              <w:t xml:space="preserve">Macchine elettroniche </w:t>
            </w:r>
          </w:p>
        </w:tc>
        <w:tc>
          <w:tcPr>
            <w:tcW w:w="1106" w:type="pct"/>
            <w:gridSpan w:val="2"/>
          </w:tcPr>
          <w:p w14:paraId="6CF743E1" w14:textId="77777777" w:rsidR="00BF0D6C" w:rsidRPr="002B2AF6" w:rsidRDefault="00093F9D" w:rsidP="00D23774">
            <w:pPr>
              <w:pStyle w:val="Rientrocorpodeltesto2"/>
              <w:tabs>
                <w:tab w:val="left" w:pos="1620"/>
              </w:tabs>
              <w:ind w:left="0"/>
              <w:rPr>
                <w:sz w:val="16"/>
                <w:szCs w:val="16"/>
              </w:rPr>
            </w:pPr>
            <w:r w:rsidRPr="002B2AF6">
              <w:rPr>
                <w:sz w:val="16"/>
                <w:szCs w:val="16"/>
              </w:rPr>
              <w:t>20%</w:t>
            </w:r>
          </w:p>
        </w:tc>
      </w:tr>
      <w:tr w:rsidR="00093F9D" w:rsidRPr="00616F22" w14:paraId="5A062464" w14:textId="77777777" w:rsidTr="001223E5">
        <w:tc>
          <w:tcPr>
            <w:tcW w:w="2486" w:type="pct"/>
            <w:gridSpan w:val="2"/>
          </w:tcPr>
          <w:p w14:paraId="7DE0540E" w14:textId="77777777" w:rsidR="00093F9D" w:rsidRPr="002B2AF6" w:rsidRDefault="00093F9D" w:rsidP="00D23774">
            <w:pPr>
              <w:pStyle w:val="Rientrocorpodeltesto2"/>
              <w:tabs>
                <w:tab w:val="left" w:pos="1620"/>
              </w:tabs>
              <w:ind w:left="0"/>
              <w:rPr>
                <w:sz w:val="16"/>
                <w:szCs w:val="16"/>
              </w:rPr>
            </w:pPr>
          </w:p>
        </w:tc>
        <w:tc>
          <w:tcPr>
            <w:tcW w:w="1408" w:type="pct"/>
            <w:gridSpan w:val="2"/>
          </w:tcPr>
          <w:p w14:paraId="2205A250" w14:textId="77777777" w:rsidR="00093F9D" w:rsidRPr="002B2AF6" w:rsidRDefault="00093F9D" w:rsidP="00D23774">
            <w:pPr>
              <w:pStyle w:val="Rientrocorpodeltesto2"/>
              <w:tabs>
                <w:tab w:val="left" w:pos="1620"/>
              </w:tabs>
              <w:ind w:left="0"/>
              <w:rPr>
                <w:sz w:val="16"/>
                <w:szCs w:val="16"/>
              </w:rPr>
            </w:pPr>
            <w:r w:rsidRPr="002B2AF6">
              <w:rPr>
                <w:sz w:val="16"/>
                <w:szCs w:val="16"/>
              </w:rPr>
              <w:t>Automezzi</w:t>
            </w:r>
            <w:r w:rsidR="00C30221" w:rsidRPr="002B2AF6">
              <w:rPr>
                <w:sz w:val="16"/>
                <w:szCs w:val="16"/>
              </w:rPr>
              <w:t xml:space="preserve"> /Carrelli elettrici</w:t>
            </w:r>
          </w:p>
        </w:tc>
        <w:tc>
          <w:tcPr>
            <w:tcW w:w="1106" w:type="pct"/>
            <w:gridSpan w:val="2"/>
          </w:tcPr>
          <w:p w14:paraId="4D30890A" w14:textId="77777777" w:rsidR="00093F9D" w:rsidRPr="002B2AF6" w:rsidRDefault="00093F9D" w:rsidP="00D23774">
            <w:pPr>
              <w:pStyle w:val="Rientrocorpodeltesto2"/>
              <w:tabs>
                <w:tab w:val="left" w:pos="1620"/>
              </w:tabs>
              <w:ind w:left="0"/>
              <w:rPr>
                <w:sz w:val="16"/>
                <w:szCs w:val="16"/>
              </w:rPr>
            </w:pPr>
            <w:r w:rsidRPr="002B2AF6">
              <w:rPr>
                <w:sz w:val="16"/>
                <w:szCs w:val="16"/>
              </w:rPr>
              <w:t>20%</w:t>
            </w:r>
          </w:p>
        </w:tc>
      </w:tr>
      <w:tr w:rsidR="00995C64" w:rsidRPr="00616F22" w14:paraId="04D854A3" w14:textId="77777777" w:rsidTr="001223E5">
        <w:tc>
          <w:tcPr>
            <w:tcW w:w="2486" w:type="pct"/>
            <w:gridSpan w:val="2"/>
          </w:tcPr>
          <w:p w14:paraId="38AEEF6A" w14:textId="77777777" w:rsidR="00995C64" w:rsidRPr="002B2AF6" w:rsidRDefault="00995C64" w:rsidP="00D23774">
            <w:pPr>
              <w:pStyle w:val="Rientrocorpodeltesto2"/>
              <w:tabs>
                <w:tab w:val="left" w:pos="1620"/>
              </w:tabs>
              <w:ind w:left="0"/>
              <w:rPr>
                <w:sz w:val="16"/>
                <w:szCs w:val="16"/>
              </w:rPr>
            </w:pPr>
          </w:p>
        </w:tc>
        <w:tc>
          <w:tcPr>
            <w:tcW w:w="1408" w:type="pct"/>
            <w:gridSpan w:val="2"/>
          </w:tcPr>
          <w:p w14:paraId="2A237C3E" w14:textId="77777777" w:rsidR="00995C64" w:rsidRPr="002B2AF6" w:rsidRDefault="00BC5E06" w:rsidP="00D23774">
            <w:pPr>
              <w:pStyle w:val="Rientrocorpodeltesto2"/>
              <w:tabs>
                <w:tab w:val="left" w:pos="1620"/>
              </w:tabs>
              <w:ind w:left="0"/>
              <w:rPr>
                <w:sz w:val="16"/>
                <w:szCs w:val="16"/>
              </w:rPr>
            </w:pPr>
            <w:r w:rsidRPr="002B2AF6">
              <w:rPr>
                <w:sz w:val="16"/>
                <w:szCs w:val="16"/>
              </w:rPr>
              <w:t>A</w:t>
            </w:r>
            <w:r w:rsidR="00995C64" w:rsidRPr="002B2AF6">
              <w:rPr>
                <w:sz w:val="16"/>
                <w:szCs w:val="16"/>
              </w:rPr>
              <w:t>utofurgoni</w:t>
            </w:r>
          </w:p>
        </w:tc>
        <w:tc>
          <w:tcPr>
            <w:tcW w:w="1106" w:type="pct"/>
            <w:gridSpan w:val="2"/>
          </w:tcPr>
          <w:p w14:paraId="2E621BFC" w14:textId="77777777" w:rsidR="00995C64" w:rsidRPr="002B2AF6" w:rsidRDefault="006326A8" w:rsidP="00D23774">
            <w:pPr>
              <w:pStyle w:val="Rientrocorpodeltesto2"/>
              <w:tabs>
                <w:tab w:val="left" w:pos="1620"/>
              </w:tabs>
              <w:ind w:left="0"/>
              <w:rPr>
                <w:sz w:val="16"/>
                <w:szCs w:val="16"/>
              </w:rPr>
            </w:pPr>
            <w:r>
              <w:rPr>
                <w:sz w:val="16"/>
                <w:szCs w:val="16"/>
              </w:rPr>
              <w:t>3</w:t>
            </w:r>
            <w:r w:rsidR="00995C64" w:rsidRPr="002B2AF6">
              <w:rPr>
                <w:sz w:val="16"/>
                <w:szCs w:val="16"/>
              </w:rPr>
              <w:t>0%</w:t>
            </w:r>
          </w:p>
        </w:tc>
      </w:tr>
      <w:tr w:rsidR="00995C64" w:rsidRPr="00616F22" w14:paraId="7955F08C" w14:textId="77777777" w:rsidTr="001223E5">
        <w:tc>
          <w:tcPr>
            <w:tcW w:w="2486" w:type="pct"/>
            <w:gridSpan w:val="2"/>
          </w:tcPr>
          <w:p w14:paraId="7A33ACA1" w14:textId="77777777" w:rsidR="00995C64" w:rsidRPr="002B2AF6" w:rsidRDefault="00995C64" w:rsidP="00D23774">
            <w:pPr>
              <w:pStyle w:val="Rientrocorpodeltesto2"/>
              <w:tabs>
                <w:tab w:val="left" w:pos="1620"/>
              </w:tabs>
              <w:ind w:left="0"/>
              <w:rPr>
                <w:sz w:val="16"/>
                <w:szCs w:val="16"/>
              </w:rPr>
            </w:pPr>
          </w:p>
        </w:tc>
        <w:tc>
          <w:tcPr>
            <w:tcW w:w="1408" w:type="pct"/>
            <w:gridSpan w:val="2"/>
          </w:tcPr>
          <w:p w14:paraId="2B729E44" w14:textId="77777777" w:rsidR="00995C64" w:rsidRPr="002B2AF6" w:rsidRDefault="00995C64" w:rsidP="00D23774">
            <w:pPr>
              <w:pStyle w:val="Rientrocorpodeltesto2"/>
              <w:tabs>
                <w:tab w:val="left" w:pos="1620"/>
              </w:tabs>
              <w:ind w:left="0"/>
              <w:rPr>
                <w:sz w:val="16"/>
                <w:szCs w:val="16"/>
              </w:rPr>
            </w:pPr>
            <w:r w:rsidRPr="002B2AF6">
              <w:rPr>
                <w:sz w:val="16"/>
                <w:szCs w:val="16"/>
              </w:rPr>
              <w:t>Colonnine taxi –distrib-ganasce</w:t>
            </w:r>
          </w:p>
        </w:tc>
        <w:tc>
          <w:tcPr>
            <w:tcW w:w="1106" w:type="pct"/>
            <w:gridSpan w:val="2"/>
          </w:tcPr>
          <w:p w14:paraId="672E6141" w14:textId="77777777" w:rsidR="00995C64" w:rsidRPr="002B2AF6" w:rsidRDefault="006326A8" w:rsidP="00D23774">
            <w:pPr>
              <w:pStyle w:val="Rientrocorpodeltesto2"/>
              <w:tabs>
                <w:tab w:val="left" w:pos="1620"/>
              </w:tabs>
              <w:ind w:left="0"/>
              <w:rPr>
                <w:sz w:val="16"/>
                <w:szCs w:val="16"/>
              </w:rPr>
            </w:pPr>
            <w:r>
              <w:rPr>
                <w:sz w:val="16"/>
                <w:szCs w:val="16"/>
              </w:rPr>
              <w:t>2</w:t>
            </w:r>
            <w:r w:rsidR="00995C64" w:rsidRPr="002B2AF6">
              <w:rPr>
                <w:sz w:val="16"/>
                <w:szCs w:val="16"/>
              </w:rPr>
              <w:t>0%</w:t>
            </w:r>
          </w:p>
        </w:tc>
      </w:tr>
      <w:tr w:rsidR="00EE4AF0" w14:paraId="233D5DDA" w14:textId="77777777" w:rsidTr="00122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58" w:type="pct"/>
          <w:wAfter w:w="507" w:type="pct"/>
        </w:trPr>
        <w:tc>
          <w:tcPr>
            <w:tcW w:w="2430" w:type="pct"/>
            <w:gridSpan w:val="2"/>
          </w:tcPr>
          <w:p w14:paraId="70FA2750" w14:textId="77777777" w:rsidR="00EE4AF0" w:rsidRPr="005F47B1" w:rsidRDefault="00EE4AF0">
            <w:pPr>
              <w:pStyle w:val="Rientrocorpodeltesto"/>
              <w:ind w:left="-718" w:firstLine="718"/>
              <w:jc w:val="both"/>
              <w:rPr>
                <w:rFonts w:ascii="Arial" w:hAnsi="Arial" w:cs="Arial"/>
                <w:b/>
                <w:bCs/>
                <w:sz w:val="20"/>
                <w:lang w:val="it-IT" w:eastAsia="it-IT"/>
              </w:rPr>
            </w:pPr>
          </w:p>
        </w:tc>
        <w:tc>
          <w:tcPr>
            <w:tcW w:w="1005" w:type="pct"/>
            <w:gridSpan w:val="2"/>
          </w:tcPr>
          <w:p w14:paraId="47C31D07" w14:textId="77777777" w:rsidR="00EE4AF0" w:rsidRPr="005F47B1" w:rsidRDefault="00EE4AF0">
            <w:pPr>
              <w:pStyle w:val="Rientrocorpodeltesto"/>
              <w:ind w:left="-452" w:firstLine="240"/>
              <w:jc w:val="center"/>
              <w:rPr>
                <w:rFonts w:ascii="Arial" w:hAnsi="Arial" w:cs="Arial"/>
                <w:b/>
                <w:bCs/>
                <w:sz w:val="20"/>
                <w:lang w:val="it-IT" w:eastAsia="it-IT"/>
              </w:rPr>
            </w:pPr>
          </w:p>
        </w:tc>
      </w:tr>
    </w:tbl>
    <w:p w14:paraId="0446328A" w14:textId="77777777" w:rsidR="00C30221" w:rsidRPr="00C30221" w:rsidRDefault="00C30221" w:rsidP="001223E5">
      <w:pPr>
        <w:widowControl w:val="0"/>
        <w:spacing w:before="120" w:after="120"/>
        <w:jc w:val="both"/>
        <w:rPr>
          <w:rFonts w:ascii="Arial" w:hAnsi="Arial" w:cs="Arial"/>
          <w:snapToGrid w:val="0"/>
          <w:sz w:val="20"/>
        </w:rPr>
      </w:pPr>
      <w:r w:rsidRPr="00C30221">
        <w:rPr>
          <w:rFonts w:ascii="Arial" w:hAnsi="Arial" w:cs="Arial"/>
          <w:snapToGrid w:val="0"/>
          <w:sz w:val="20"/>
        </w:rPr>
        <w:t>Per gli autobus è stata applicata la percentuale di ammortamento pari a 12,50%, inferiore a</w:t>
      </w:r>
      <w:r>
        <w:rPr>
          <w:rFonts w:ascii="Arial" w:hAnsi="Arial" w:cs="Arial"/>
          <w:snapToGrid w:val="0"/>
          <w:sz w:val="20"/>
        </w:rPr>
        <w:t xml:space="preserve"> </w:t>
      </w:r>
      <w:r w:rsidRPr="00C30221">
        <w:rPr>
          <w:rFonts w:ascii="Arial" w:hAnsi="Arial" w:cs="Arial"/>
          <w:snapToGrid w:val="0"/>
          <w:sz w:val="20"/>
        </w:rPr>
        <w:t>quella massima fiscalmente prevista, poiché ritenuta maggiormente idonea a rappresentare la</w:t>
      </w:r>
      <w:r>
        <w:rPr>
          <w:rFonts w:ascii="Arial" w:hAnsi="Arial" w:cs="Arial"/>
          <w:snapToGrid w:val="0"/>
          <w:sz w:val="20"/>
        </w:rPr>
        <w:t xml:space="preserve"> </w:t>
      </w:r>
      <w:r w:rsidRPr="00C30221">
        <w:rPr>
          <w:rFonts w:ascii="Arial" w:hAnsi="Arial" w:cs="Arial"/>
          <w:snapToGrid w:val="0"/>
          <w:sz w:val="20"/>
        </w:rPr>
        <w:t>durata media degli autobus in misura non inferiore ai dodici anni, come tale</w:t>
      </w:r>
      <w:r w:rsidR="001E23E4">
        <w:rPr>
          <w:rFonts w:ascii="Arial" w:hAnsi="Arial" w:cs="Arial"/>
          <w:snapToGrid w:val="0"/>
          <w:sz w:val="20"/>
        </w:rPr>
        <w:t xml:space="preserve">, stimata, </w:t>
      </w:r>
      <w:r w:rsidRPr="00C30221">
        <w:rPr>
          <w:rFonts w:ascii="Arial" w:hAnsi="Arial" w:cs="Arial"/>
          <w:snapToGrid w:val="0"/>
          <w:sz w:val="20"/>
        </w:rPr>
        <w:t>altresì</w:t>
      </w:r>
      <w:r w:rsidR="001E23E4">
        <w:rPr>
          <w:rFonts w:ascii="Arial" w:hAnsi="Arial" w:cs="Arial"/>
          <w:snapToGrid w:val="0"/>
          <w:sz w:val="20"/>
        </w:rPr>
        <w:t>,</w:t>
      </w:r>
      <w:r w:rsidRPr="00C30221">
        <w:rPr>
          <w:rFonts w:ascii="Arial" w:hAnsi="Arial" w:cs="Arial"/>
          <w:snapToGrid w:val="0"/>
          <w:sz w:val="20"/>
        </w:rPr>
        <w:t xml:space="preserve"> dalla</w:t>
      </w:r>
      <w:r>
        <w:rPr>
          <w:rFonts w:ascii="Arial" w:hAnsi="Arial" w:cs="Arial"/>
          <w:snapToGrid w:val="0"/>
          <w:sz w:val="20"/>
        </w:rPr>
        <w:t xml:space="preserve"> </w:t>
      </w:r>
      <w:r w:rsidRPr="00C30221">
        <w:rPr>
          <w:rFonts w:ascii="Arial" w:hAnsi="Arial" w:cs="Arial"/>
          <w:snapToGrid w:val="0"/>
          <w:sz w:val="20"/>
        </w:rPr>
        <w:t>ASSTRA, già Federtrasporti.</w:t>
      </w:r>
    </w:p>
    <w:p w14:paraId="140D9068" w14:textId="77777777" w:rsidR="00C30221" w:rsidRPr="00C30221" w:rsidRDefault="00C30221" w:rsidP="001223E5">
      <w:pPr>
        <w:widowControl w:val="0"/>
        <w:spacing w:before="120" w:after="120"/>
        <w:jc w:val="both"/>
        <w:rPr>
          <w:rFonts w:ascii="Arial" w:hAnsi="Arial" w:cs="Arial"/>
          <w:snapToGrid w:val="0"/>
          <w:sz w:val="20"/>
        </w:rPr>
      </w:pPr>
      <w:r w:rsidRPr="00C30221">
        <w:rPr>
          <w:rFonts w:ascii="Arial" w:hAnsi="Arial" w:cs="Arial"/>
          <w:snapToGrid w:val="0"/>
          <w:sz w:val="20"/>
        </w:rPr>
        <w:t>La stessa percentuale di ammortamento è stata applicata ai filobus acquisiti e resi disponibili in</w:t>
      </w:r>
      <w:r>
        <w:rPr>
          <w:rFonts w:ascii="Arial" w:hAnsi="Arial" w:cs="Arial"/>
          <w:snapToGrid w:val="0"/>
          <w:sz w:val="20"/>
        </w:rPr>
        <w:t xml:space="preserve"> </w:t>
      </w:r>
      <w:r w:rsidRPr="00C30221">
        <w:rPr>
          <w:rFonts w:ascii="Arial" w:hAnsi="Arial" w:cs="Arial"/>
          <w:snapToGrid w:val="0"/>
          <w:sz w:val="20"/>
        </w:rPr>
        <w:t>esercizio negli ultimi mesi dell’esercizio 2000.</w:t>
      </w:r>
    </w:p>
    <w:p w14:paraId="6769A911" w14:textId="77777777" w:rsidR="00C30221" w:rsidRDefault="00C30221" w:rsidP="001223E5">
      <w:pPr>
        <w:widowControl w:val="0"/>
        <w:spacing w:before="120" w:after="120"/>
        <w:jc w:val="both"/>
        <w:rPr>
          <w:rFonts w:ascii="Arial" w:hAnsi="Arial" w:cs="Arial"/>
          <w:snapToGrid w:val="0"/>
          <w:sz w:val="20"/>
        </w:rPr>
      </w:pPr>
      <w:r w:rsidRPr="00C30221">
        <w:rPr>
          <w:rFonts w:ascii="Arial" w:hAnsi="Arial" w:cs="Arial"/>
          <w:snapToGrid w:val="0"/>
          <w:sz w:val="20"/>
        </w:rPr>
        <w:t>Per i tram è stata applicata la percentuale del 5% e il relativo ammortamento è stato computato</w:t>
      </w:r>
      <w:r>
        <w:rPr>
          <w:rFonts w:ascii="Arial" w:hAnsi="Arial" w:cs="Arial"/>
          <w:snapToGrid w:val="0"/>
          <w:sz w:val="20"/>
        </w:rPr>
        <w:t xml:space="preserve"> </w:t>
      </w:r>
      <w:r w:rsidRPr="00C30221">
        <w:rPr>
          <w:rFonts w:ascii="Arial" w:hAnsi="Arial" w:cs="Arial"/>
          <w:snapToGrid w:val="0"/>
          <w:sz w:val="20"/>
        </w:rPr>
        <w:t>per i soli veicoli disponibili per l’uso a seguito dell’esito positivo dei collaudi effettuati.</w:t>
      </w:r>
    </w:p>
    <w:p w14:paraId="5B87CF5C" w14:textId="77777777" w:rsidR="00EE4AF0" w:rsidRDefault="00EE4AF0" w:rsidP="001223E5">
      <w:pPr>
        <w:widowControl w:val="0"/>
        <w:spacing w:before="120" w:after="120"/>
        <w:jc w:val="both"/>
        <w:rPr>
          <w:rFonts w:ascii="Arial" w:hAnsi="Arial" w:cs="Arial"/>
          <w:snapToGrid w:val="0"/>
          <w:sz w:val="20"/>
        </w:rPr>
      </w:pPr>
      <w:r>
        <w:rPr>
          <w:rFonts w:ascii="Arial" w:hAnsi="Arial" w:cs="Arial"/>
          <w:snapToGrid w:val="0"/>
          <w:sz w:val="20"/>
        </w:rPr>
        <w:t>I costi di manutenzione ordinaria sono stati addebitati integralmente al conto economico.</w:t>
      </w:r>
    </w:p>
    <w:p w14:paraId="042AE2A1" w14:textId="77777777" w:rsidR="00EE4AF0" w:rsidRDefault="00EE4AF0" w:rsidP="001223E5">
      <w:pPr>
        <w:widowControl w:val="0"/>
        <w:spacing w:before="120" w:after="120"/>
        <w:jc w:val="both"/>
        <w:rPr>
          <w:rFonts w:ascii="Arial" w:hAnsi="Arial" w:cs="Arial"/>
          <w:snapToGrid w:val="0"/>
          <w:sz w:val="20"/>
        </w:rPr>
      </w:pPr>
      <w:r>
        <w:rPr>
          <w:rFonts w:ascii="Arial" w:hAnsi="Arial" w:cs="Arial"/>
          <w:snapToGrid w:val="0"/>
          <w:sz w:val="20"/>
        </w:rPr>
        <w:t>Non sono state effettuate rivalutazioni discrezionali, volontarie o di legge e le valutazioni effettuate trovano il loro limite massimo nel valore d’uso, oggettivamente determinato, dell’immobilizzazione stessa. Non sussistono presupposti per la svalutazione delle immobilizzazioni in esame.</w:t>
      </w:r>
    </w:p>
    <w:p w14:paraId="7C44E4AB" w14:textId="77777777" w:rsidR="00BC5E06" w:rsidRPr="00BC5E06" w:rsidRDefault="00BC5E06" w:rsidP="001223E5">
      <w:pPr>
        <w:widowControl w:val="0"/>
        <w:spacing w:before="120" w:after="120"/>
        <w:jc w:val="both"/>
        <w:rPr>
          <w:rFonts w:ascii="Arial" w:hAnsi="Arial" w:cs="Arial"/>
          <w:snapToGrid w:val="0"/>
          <w:sz w:val="20"/>
        </w:rPr>
      </w:pPr>
      <w:r w:rsidRPr="00BC5E06">
        <w:rPr>
          <w:rFonts w:ascii="Arial" w:hAnsi="Arial" w:cs="Arial"/>
          <w:snapToGrid w:val="0"/>
          <w:sz w:val="20"/>
        </w:rPr>
        <w:t>Nel caso in cui, indipendentemente dall'ammortamento già contabilizzato, risulti una perdita durevole di valore, l'immobilizzazione viene corrispondentemente svalutata; se in esercizi successivi vengono meno i motivi che avevano giustificato la svalutazione viene ripristinato il valore originario, nei limiti del valore che l’attività avrebbe avuto ove la rettifica di valore non avesse mai avuto luogo.</w:t>
      </w:r>
    </w:p>
    <w:p w14:paraId="7A057E6F" w14:textId="77777777" w:rsidR="00BC5E06" w:rsidRPr="00BC5E06" w:rsidRDefault="00BC5E06" w:rsidP="001223E5">
      <w:pPr>
        <w:widowControl w:val="0"/>
        <w:spacing w:before="120" w:after="120"/>
        <w:jc w:val="both"/>
        <w:rPr>
          <w:rFonts w:ascii="Arial" w:hAnsi="Arial" w:cs="Arial"/>
          <w:snapToGrid w:val="0"/>
          <w:sz w:val="20"/>
        </w:rPr>
      </w:pPr>
      <w:r w:rsidRPr="00BC5E06">
        <w:rPr>
          <w:rFonts w:ascii="Arial" w:hAnsi="Arial" w:cs="Arial"/>
          <w:snapToGrid w:val="0"/>
          <w:sz w:val="20"/>
        </w:rPr>
        <w:t>In ottemperanza all’art. 2427 del c.c. nel prosieguo della presente nota integrativa sono stati indicati i movimenti delle immobilizzazioni, specificando per ciascuna voce:</w:t>
      </w:r>
    </w:p>
    <w:p w14:paraId="3FD07484" w14:textId="77777777" w:rsidR="00BC5E06" w:rsidRPr="00BC5E06" w:rsidRDefault="00BC5E06"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Pr="00BC5E06">
        <w:rPr>
          <w:rFonts w:ascii="Arial" w:hAnsi="Arial" w:cs="Arial"/>
          <w:snapToGrid w:val="0"/>
          <w:sz w:val="20"/>
        </w:rPr>
        <w:t>Il costo di acquisto</w:t>
      </w:r>
      <w:r w:rsidR="00674587">
        <w:rPr>
          <w:rFonts w:ascii="Arial" w:hAnsi="Arial" w:cs="Arial"/>
          <w:snapToGrid w:val="0"/>
          <w:sz w:val="20"/>
        </w:rPr>
        <w:t>;</w:t>
      </w:r>
    </w:p>
    <w:p w14:paraId="3B12C019" w14:textId="77777777" w:rsidR="00BC5E06" w:rsidRPr="00BC5E06" w:rsidRDefault="00674587"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00BC5E06" w:rsidRPr="00BC5E06">
        <w:rPr>
          <w:rFonts w:ascii="Arial" w:hAnsi="Arial" w:cs="Arial"/>
          <w:snapToGrid w:val="0"/>
          <w:sz w:val="20"/>
        </w:rPr>
        <w:t>Le precedenti rivalutazioni e svalutazioni</w:t>
      </w:r>
      <w:r>
        <w:rPr>
          <w:rFonts w:ascii="Arial" w:hAnsi="Arial" w:cs="Arial"/>
          <w:snapToGrid w:val="0"/>
          <w:sz w:val="20"/>
        </w:rPr>
        <w:t>;</w:t>
      </w:r>
    </w:p>
    <w:p w14:paraId="5960583F" w14:textId="77777777" w:rsidR="00BC5E06" w:rsidRPr="00BC5E06" w:rsidRDefault="00674587"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00BC5E06" w:rsidRPr="00BC5E06">
        <w:rPr>
          <w:rFonts w:ascii="Arial" w:hAnsi="Arial" w:cs="Arial"/>
          <w:snapToGrid w:val="0"/>
          <w:sz w:val="20"/>
        </w:rPr>
        <w:t>Acquisizioni, alienazioni o spostamenti da una ad altra voce precedenti</w:t>
      </w:r>
      <w:r>
        <w:rPr>
          <w:rFonts w:ascii="Arial" w:hAnsi="Arial" w:cs="Arial"/>
          <w:snapToGrid w:val="0"/>
          <w:sz w:val="20"/>
        </w:rPr>
        <w:t>;</w:t>
      </w:r>
    </w:p>
    <w:p w14:paraId="60264892" w14:textId="77777777" w:rsidR="00BC5E06" w:rsidRPr="00BC5E06" w:rsidRDefault="00674587"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00BC5E06" w:rsidRPr="00BC5E06">
        <w:rPr>
          <w:rFonts w:ascii="Arial" w:hAnsi="Arial" w:cs="Arial"/>
          <w:snapToGrid w:val="0"/>
          <w:sz w:val="20"/>
        </w:rPr>
        <w:t>Ammortamenti precedenti</w:t>
      </w:r>
      <w:r>
        <w:rPr>
          <w:rFonts w:ascii="Arial" w:hAnsi="Arial" w:cs="Arial"/>
          <w:snapToGrid w:val="0"/>
          <w:sz w:val="20"/>
        </w:rPr>
        <w:t>;</w:t>
      </w:r>
    </w:p>
    <w:p w14:paraId="37BAE128" w14:textId="77777777" w:rsidR="00BC5E06" w:rsidRPr="00BC5E06" w:rsidRDefault="00674587"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00BC5E06" w:rsidRPr="00BC5E06">
        <w:rPr>
          <w:rFonts w:ascii="Arial" w:hAnsi="Arial" w:cs="Arial"/>
          <w:snapToGrid w:val="0"/>
          <w:sz w:val="20"/>
        </w:rPr>
        <w:t>Acquisizioni, alienazioni o spostamenti da una ad altra voce precedenti</w:t>
      </w:r>
      <w:r>
        <w:rPr>
          <w:rFonts w:ascii="Arial" w:hAnsi="Arial" w:cs="Arial"/>
          <w:snapToGrid w:val="0"/>
          <w:sz w:val="20"/>
        </w:rPr>
        <w:t>;</w:t>
      </w:r>
    </w:p>
    <w:p w14:paraId="175C8663" w14:textId="77777777" w:rsidR="00BC5E06" w:rsidRPr="00BC5E06" w:rsidRDefault="00674587"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00BC5E06" w:rsidRPr="00BC5E06">
        <w:rPr>
          <w:rFonts w:ascii="Arial" w:hAnsi="Arial" w:cs="Arial"/>
          <w:snapToGrid w:val="0"/>
          <w:sz w:val="20"/>
        </w:rPr>
        <w:t>Acquisizioni, alienazioni dell’esercizio</w:t>
      </w:r>
      <w:r>
        <w:rPr>
          <w:rFonts w:ascii="Arial" w:hAnsi="Arial" w:cs="Arial"/>
          <w:snapToGrid w:val="0"/>
          <w:sz w:val="20"/>
        </w:rPr>
        <w:t>;</w:t>
      </w:r>
    </w:p>
    <w:p w14:paraId="539C490C" w14:textId="77777777" w:rsidR="00BC5E06" w:rsidRPr="00BC5E06" w:rsidRDefault="00674587"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00BC5E06" w:rsidRPr="00BC5E06">
        <w:rPr>
          <w:rFonts w:ascii="Arial" w:hAnsi="Arial" w:cs="Arial"/>
          <w:snapToGrid w:val="0"/>
          <w:sz w:val="20"/>
        </w:rPr>
        <w:t>Ammortamenti dell’esercizio</w:t>
      </w:r>
      <w:r>
        <w:rPr>
          <w:rFonts w:ascii="Arial" w:hAnsi="Arial" w:cs="Arial"/>
          <w:snapToGrid w:val="0"/>
          <w:sz w:val="20"/>
        </w:rPr>
        <w:t>;</w:t>
      </w:r>
    </w:p>
    <w:p w14:paraId="2DAB3D55" w14:textId="77777777" w:rsidR="00BC5E06" w:rsidRDefault="00674587"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00BC5E06" w:rsidRPr="00BC5E06">
        <w:rPr>
          <w:rFonts w:ascii="Arial" w:hAnsi="Arial" w:cs="Arial"/>
          <w:snapToGrid w:val="0"/>
          <w:sz w:val="20"/>
        </w:rPr>
        <w:t>Immobilizzazioni esistenti in chiusura esercizio.</w:t>
      </w:r>
    </w:p>
    <w:p w14:paraId="1D5CB5E8" w14:textId="77777777" w:rsidR="00EE4AF0" w:rsidRDefault="00EE4AF0" w:rsidP="001223E5">
      <w:pPr>
        <w:pStyle w:val="Titolo4"/>
        <w:tabs>
          <w:tab w:val="clear" w:pos="204"/>
        </w:tabs>
        <w:spacing w:before="120" w:after="120"/>
        <w:rPr>
          <w:rFonts w:ascii="Arial" w:hAnsi="Arial" w:cs="Arial"/>
          <w:bCs/>
          <w:i/>
          <w:sz w:val="20"/>
        </w:rPr>
      </w:pPr>
      <w:r>
        <w:rPr>
          <w:rFonts w:ascii="Arial" w:hAnsi="Arial" w:cs="Arial"/>
          <w:bCs/>
          <w:i/>
          <w:sz w:val="20"/>
        </w:rPr>
        <w:t>Finanziarie</w:t>
      </w:r>
    </w:p>
    <w:p w14:paraId="08BB3876" w14:textId="77777777" w:rsidR="00D37C78" w:rsidRPr="002B2AF6" w:rsidRDefault="00AA7AAF" w:rsidP="001223E5">
      <w:pPr>
        <w:widowControl w:val="0"/>
        <w:spacing w:before="120" w:after="120"/>
        <w:jc w:val="both"/>
        <w:rPr>
          <w:rFonts w:ascii="Arial" w:hAnsi="Arial" w:cs="Arial"/>
          <w:snapToGrid w:val="0"/>
          <w:sz w:val="20"/>
        </w:rPr>
      </w:pPr>
      <w:r w:rsidRPr="00AA7AAF">
        <w:rPr>
          <w:rFonts w:ascii="Arial" w:hAnsi="Arial" w:cs="Arial"/>
          <w:snapToGrid w:val="0"/>
          <w:sz w:val="20"/>
        </w:rPr>
        <w:t xml:space="preserve">Esse sono costituite da partecipazioni in società acquisite a scopo di investimento durevole, e come tali valutate in base al costo sostenuto per l’acquisizione. </w:t>
      </w:r>
    </w:p>
    <w:p w14:paraId="1171BCAB" w14:textId="77777777" w:rsidR="00EE4AF0" w:rsidRDefault="00EE4AF0" w:rsidP="001223E5">
      <w:pPr>
        <w:widowControl w:val="0"/>
        <w:tabs>
          <w:tab w:val="left" w:pos="1560"/>
        </w:tabs>
        <w:spacing w:before="120" w:after="120"/>
        <w:rPr>
          <w:rFonts w:ascii="Arial" w:hAnsi="Arial" w:cs="Arial"/>
          <w:b/>
          <w:snapToGrid w:val="0"/>
          <w:sz w:val="20"/>
        </w:rPr>
      </w:pPr>
      <w:r>
        <w:rPr>
          <w:rFonts w:ascii="Arial" w:hAnsi="Arial" w:cs="Arial"/>
          <w:b/>
          <w:snapToGrid w:val="0"/>
          <w:sz w:val="20"/>
        </w:rPr>
        <w:t>Rimanenze di magazzino</w:t>
      </w:r>
    </w:p>
    <w:p w14:paraId="535FAFA1" w14:textId="77777777" w:rsidR="00995C64" w:rsidRPr="00995C64" w:rsidRDefault="00D32C28" w:rsidP="001223E5">
      <w:pPr>
        <w:widowControl w:val="0"/>
        <w:spacing w:before="120" w:after="120"/>
        <w:jc w:val="both"/>
        <w:rPr>
          <w:rFonts w:ascii="Arial" w:hAnsi="Arial" w:cs="Arial"/>
          <w:snapToGrid w:val="0"/>
          <w:sz w:val="20"/>
        </w:rPr>
      </w:pPr>
      <w:r>
        <w:rPr>
          <w:rFonts w:ascii="Arial" w:hAnsi="Arial" w:cs="Arial"/>
          <w:snapToGrid w:val="0"/>
          <w:sz w:val="20"/>
        </w:rPr>
        <w:t xml:space="preserve">La valorizzazione delle rimanenze è stata resa omogenea e </w:t>
      </w:r>
      <w:r w:rsidR="00995C64" w:rsidRPr="00995C64">
        <w:rPr>
          <w:rFonts w:ascii="Arial" w:hAnsi="Arial" w:cs="Arial"/>
          <w:snapToGrid w:val="0"/>
          <w:sz w:val="20"/>
        </w:rPr>
        <w:t>sono</w:t>
      </w:r>
      <w:r>
        <w:rPr>
          <w:rFonts w:ascii="Arial" w:hAnsi="Arial" w:cs="Arial"/>
          <w:snapToGrid w:val="0"/>
          <w:sz w:val="20"/>
        </w:rPr>
        <w:t xml:space="preserve"> </w:t>
      </w:r>
      <w:r w:rsidR="00662FD0">
        <w:rPr>
          <w:rFonts w:ascii="Arial" w:hAnsi="Arial" w:cs="Arial"/>
          <w:snapToGrid w:val="0"/>
          <w:sz w:val="20"/>
        </w:rPr>
        <w:t xml:space="preserve">state </w:t>
      </w:r>
      <w:r w:rsidR="00662FD0" w:rsidRPr="00995C64">
        <w:rPr>
          <w:rFonts w:ascii="Arial" w:hAnsi="Arial" w:cs="Arial"/>
          <w:snapToGrid w:val="0"/>
          <w:sz w:val="20"/>
        </w:rPr>
        <w:t>iscritte</w:t>
      </w:r>
      <w:r w:rsidR="00995C64" w:rsidRPr="00995C64">
        <w:rPr>
          <w:rFonts w:ascii="Arial" w:hAnsi="Arial" w:cs="Arial"/>
          <w:snapToGrid w:val="0"/>
          <w:sz w:val="20"/>
        </w:rPr>
        <w:t xml:space="preserve"> al minore tra il costo di acquisto o di produzione, determinato secondo il metodo del Lifo a scatti ed il valore di presumibile realizzazione desumibile dall'andamento del mercato (art. 2426 numero 9 C.C.). Per costo di acquisto si intende il prezzo effettivo d’acquisto più gli oneri accessori, con esclusione degli oneri </w:t>
      </w:r>
      <w:r w:rsidR="00662FD0" w:rsidRPr="00995C64">
        <w:rPr>
          <w:rFonts w:ascii="Arial" w:hAnsi="Arial" w:cs="Arial"/>
          <w:snapToGrid w:val="0"/>
          <w:sz w:val="20"/>
        </w:rPr>
        <w:t>finanziari, opportunamente</w:t>
      </w:r>
      <w:r w:rsidR="00995C64" w:rsidRPr="00995C64">
        <w:rPr>
          <w:rFonts w:ascii="Arial" w:hAnsi="Arial" w:cs="Arial"/>
          <w:snapToGrid w:val="0"/>
          <w:sz w:val="20"/>
        </w:rPr>
        <w:t xml:space="preserve"> svalutato in caso di sopravvenuta obsolescenza tecnologica.</w:t>
      </w:r>
    </w:p>
    <w:p w14:paraId="18E1A695" w14:textId="77777777" w:rsidR="00995C64" w:rsidRPr="00995C64" w:rsidRDefault="00995C64" w:rsidP="001223E5">
      <w:pPr>
        <w:widowControl w:val="0"/>
        <w:spacing w:before="120" w:after="120"/>
        <w:jc w:val="both"/>
        <w:rPr>
          <w:rFonts w:ascii="Arial" w:hAnsi="Arial" w:cs="Arial"/>
          <w:snapToGrid w:val="0"/>
          <w:sz w:val="20"/>
        </w:rPr>
      </w:pPr>
      <w:r w:rsidRPr="00995C64">
        <w:rPr>
          <w:rFonts w:ascii="Arial" w:hAnsi="Arial" w:cs="Arial"/>
          <w:snapToGrid w:val="0"/>
          <w:sz w:val="20"/>
        </w:rPr>
        <w:lastRenderedPageBreak/>
        <w:t>Nel caso delle materie prime e sussidiarie che partecipano alla fabbricazione di prodotti finiti si prende a riferimento per la determinazione del valore di realizzazione desumibile dall’andamento del mercato generalmente il costo di sostituzione.</w:t>
      </w:r>
    </w:p>
    <w:p w14:paraId="23C0559B" w14:textId="77777777" w:rsidR="00995C64" w:rsidRPr="00995C64" w:rsidRDefault="00995C64" w:rsidP="001223E5">
      <w:pPr>
        <w:widowControl w:val="0"/>
        <w:spacing w:before="120" w:after="120"/>
        <w:jc w:val="both"/>
        <w:rPr>
          <w:rFonts w:ascii="Arial" w:hAnsi="Arial" w:cs="Arial"/>
          <w:snapToGrid w:val="0"/>
          <w:sz w:val="20"/>
        </w:rPr>
      </w:pPr>
      <w:r w:rsidRPr="00995C64">
        <w:rPr>
          <w:rFonts w:ascii="Arial" w:hAnsi="Arial" w:cs="Arial"/>
          <w:snapToGrid w:val="0"/>
          <w:sz w:val="20"/>
        </w:rPr>
        <w:t>Il valore delle rimanenze è stato riportato nello schema di stato patrimoniale di cui al punto C.I) e, trattandosi di materie prime, sussidiarie e di consumo, sono state assunte con segno positivo o negativo nella determinazione dei costi della produzione di cui al punto 11 del Conto economico.</w:t>
      </w:r>
    </w:p>
    <w:p w14:paraId="24A0ECFC" w14:textId="77777777" w:rsidR="00586176" w:rsidRPr="00586176" w:rsidRDefault="00EE4AF0" w:rsidP="001223E5">
      <w:pPr>
        <w:widowControl w:val="0"/>
        <w:spacing w:before="120" w:after="120"/>
        <w:rPr>
          <w:rFonts w:ascii="Arial" w:hAnsi="Arial" w:cs="Arial"/>
          <w:b/>
          <w:snapToGrid w:val="0"/>
          <w:sz w:val="20"/>
        </w:rPr>
      </w:pPr>
      <w:r>
        <w:rPr>
          <w:rFonts w:ascii="Arial" w:hAnsi="Arial" w:cs="Arial"/>
          <w:b/>
          <w:snapToGrid w:val="0"/>
          <w:sz w:val="20"/>
        </w:rPr>
        <w:t>Crediti</w:t>
      </w:r>
    </w:p>
    <w:p w14:paraId="4CB03293" w14:textId="77777777" w:rsidR="00A72AF8" w:rsidRPr="00A72AF8" w:rsidRDefault="00EE4AF0" w:rsidP="00A72AF8">
      <w:pPr>
        <w:widowControl w:val="0"/>
        <w:tabs>
          <w:tab w:val="left" w:pos="1620"/>
        </w:tabs>
        <w:spacing w:before="120" w:after="120"/>
        <w:jc w:val="both"/>
        <w:rPr>
          <w:rFonts w:ascii="Arial" w:hAnsi="Arial" w:cs="Arial"/>
          <w:snapToGrid w:val="0"/>
          <w:sz w:val="20"/>
        </w:rPr>
      </w:pPr>
      <w:r w:rsidRPr="00AD44C7">
        <w:rPr>
          <w:rFonts w:ascii="Arial" w:hAnsi="Arial" w:cs="Arial"/>
          <w:snapToGrid w:val="0"/>
          <w:sz w:val="20"/>
        </w:rPr>
        <w:t>I crediti</w:t>
      </w:r>
      <w:r w:rsidR="00A72AF8">
        <w:rPr>
          <w:rFonts w:ascii="Arial" w:hAnsi="Arial" w:cs="Arial"/>
          <w:snapToGrid w:val="0"/>
          <w:sz w:val="20"/>
        </w:rPr>
        <w:t xml:space="preserve">, </w:t>
      </w:r>
      <w:r w:rsidR="00842641" w:rsidRPr="00AD44C7">
        <w:rPr>
          <w:rFonts w:ascii="Arial" w:hAnsi="Arial" w:cs="Arial"/>
          <w:snapToGrid w:val="0"/>
          <w:sz w:val="20"/>
        </w:rPr>
        <w:t xml:space="preserve">non essendo gli stessi </w:t>
      </w:r>
      <w:r w:rsidR="00662FD0" w:rsidRPr="00AD44C7">
        <w:rPr>
          <w:rFonts w:ascii="Arial" w:hAnsi="Arial" w:cs="Arial"/>
          <w:snapToGrid w:val="0"/>
          <w:sz w:val="20"/>
        </w:rPr>
        <w:t>per natura</w:t>
      </w:r>
      <w:r w:rsidR="00842641" w:rsidRPr="00AD44C7">
        <w:rPr>
          <w:rFonts w:ascii="Arial" w:hAnsi="Arial" w:cs="Arial"/>
          <w:snapToGrid w:val="0"/>
          <w:sz w:val="20"/>
        </w:rPr>
        <w:t xml:space="preserve"> superiori ai 12 mesi</w:t>
      </w:r>
      <w:r w:rsidR="00A72AF8">
        <w:rPr>
          <w:rFonts w:ascii="Arial" w:hAnsi="Arial" w:cs="Arial"/>
          <w:snapToGrid w:val="0"/>
          <w:sz w:val="20"/>
        </w:rPr>
        <w:t>,</w:t>
      </w:r>
      <w:r w:rsidRPr="00AD44C7">
        <w:rPr>
          <w:rFonts w:ascii="Arial" w:hAnsi="Arial" w:cs="Arial"/>
          <w:snapToGrid w:val="0"/>
          <w:sz w:val="20"/>
        </w:rPr>
        <w:t xml:space="preserve"> sono </w:t>
      </w:r>
      <w:r w:rsidR="002C1520" w:rsidRPr="00AD44C7">
        <w:rPr>
          <w:rFonts w:ascii="Arial" w:hAnsi="Arial" w:cs="Arial"/>
          <w:snapToGrid w:val="0"/>
          <w:sz w:val="20"/>
        </w:rPr>
        <w:t xml:space="preserve">stati </w:t>
      </w:r>
      <w:r w:rsidRPr="00AD44C7">
        <w:rPr>
          <w:rFonts w:ascii="Arial" w:hAnsi="Arial" w:cs="Arial"/>
          <w:snapToGrid w:val="0"/>
          <w:sz w:val="20"/>
        </w:rPr>
        <w:t>valutati al loro presumibile valore di realizzazione mediante l’iscrizione di un appo</w:t>
      </w:r>
      <w:r w:rsidR="00842641" w:rsidRPr="00AD44C7">
        <w:rPr>
          <w:rFonts w:ascii="Arial" w:hAnsi="Arial" w:cs="Arial"/>
          <w:snapToGrid w:val="0"/>
          <w:sz w:val="20"/>
        </w:rPr>
        <w:t>sito fondo svalutazione crediti, in deroga al principio del costo ammortizzato.</w:t>
      </w:r>
      <w:r w:rsidR="00A72AF8" w:rsidRPr="00A72AF8">
        <w:rPr>
          <w:rFonts w:eastAsia="Andale Sans UI"/>
          <w:snapToGrid w:val="0"/>
          <w:kern w:val="3"/>
          <w:lang w:eastAsia="ja-JP" w:bidi="fa-IR"/>
        </w:rPr>
        <w:t xml:space="preserve"> </w:t>
      </w:r>
      <w:r w:rsidR="00A72AF8" w:rsidRPr="00A72AF8">
        <w:rPr>
          <w:rFonts w:ascii="Arial" w:hAnsi="Arial" w:cs="Arial"/>
          <w:snapToGrid w:val="0"/>
          <w:sz w:val="20"/>
        </w:rPr>
        <w:t>Il criterio del costo ammortizzato non è stato applicato in quanto gli effetti sono irrilevanti, e quindi i costi di transazione, le commissioni pagate tra le parti e ogni altra differenza tra valore iniziale e valore a scadenza sono di scarso rilievo.</w:t>
      </w:r>
    </w:p>
    <w:p w14:paraId="1E90FFA1" w14:textId="77777777" w:rsidR="00586176" w:rsidRPr="00586176" w:rsidRDefault="00586176" w:rsidP="001223E5">
      <w:pPr>
        <w:widowControl w:val="0"/>
        <w:tabs>
          <w:tab w:val="left" w:pos="1620"/>
        </w:tabs>
        <w:spacing w:before="120" w:after="120"/>
        <w:jc w:val="both"/>
        <w:rPr>
          <w:rFonts w:ascii="Arial" w:hAnsi="Arial" w:cs="Arial"/>
          <w:snapToGrid w:val="0"/>
          <w:sz w:val="20"/>
        </w:rPr>
      </w:pPr>
      <w:r w:rsidRPr="00586176">
        <w:rPr>
          <w:rFonts w:ascii="Arial" w:hAnsi="Arial" w:cs="Arial"/>
          <w:snapToGrid w:val="0"/>
          <w:sz w:val="20"/>
        </w:rPr>
        <w:t xml:space="preserve">Come disposto dall’art 2426 c.c., primo comma n. 8, i crediti sono esposti in bilancio al valore di presumibile realizzo, indicando separatamente i relativi fondi svalutazione. Quelli </w:t>
      </w:r>
      <w:r w:rsidR="00A72AF8">
        <w:rPr>
          <w:rFonts w:ascii="Arial" w:hAnsi="Arial" w:cs="Arial"/>
          <w:snapToGrid w:val="0"/>
          <w:sz w:val="20"/>
        </w:rPr>
        <w:t>all’</w:t>
      </w:r>
      <w:r w:rsidRPr="00586176">
        <w:rPr>
          <w:rFonts w:ascii="Arial" w:hAnsi="Arial" w:cs="Arial"/>
          <w:snapToGrid w:val="0"/>
          <w:sz w:val="20"/>
        </w:rPr>
        <w:t>uopo stanziati nei precedenti esercizi sono stati utilizzati a copertura di perdite su crediti ritenute certe e precise, e reintegrati per il valore ritenuto congruo a riflettere l’aleatorietà degli incassi futuri dei crediti ancora iscritti in bilancio. I crediti sono stati</w:t>
      </w:r>
      <w:r w:rsidR="006215A5">
        <w:rPr>
          <w:rFonts w:ascii="Arial" w:hAnsi="Arial" w:cs="Arial"/>
          <w:snapToGrid w:val="0"/>
          <w:sz w:val="20"/>
        </w:rPr>
        <w:t xml:space="preserve"> </w:t>
      </w:r>
      <w:r w:rsidRPr="00586176">
        <w:rPr>
          <w:rFonts w:ascii="Arial" w:hAnsi="Arial" w:cs="Arial"/>
          <w:snapToGrid w:val="0"/>
          <w:sz w:val="20"/>
        </w:rPr>
        <w:t>divisi in base alla natura del debitore, in:</w:t>
      </w:r>
    </w:p>
    <w:p w14:paraId="3BAB8F3E" w14:textId="77777777" w:rsidR="00586176" w:rsidRPr="00586176" w:rsidRDefault="006215A5"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00586176" w:rsidRPr="00586176">
        <w:rPr>
          <w:rFonts w:ascii="Arial" w:hAnsi="Arial" w:cs="Arial"/>
          <w:snapToGrid w:val="0"/>
          <w:sz w:val="20"/>
        </w:rPr>
        <w:t>Crediti verso utenti e clienti</w:t>
      </w:r>
      <w:r>
        <w:rPr>
          <w:rFonts w:ascii="Arial" w:hAnsi="Arial" w:cs="Arial"/>
          <w:snapToGrid w:val="0"/>
          <w:sz w:val="20"/>
        </w:rPr>
        <w:t>;</w:t>
      </w:r>
    </w:p>
    <w:p w14:paraId="3FA30980" w14:textId="77777777" w:rsidR="00DD6555" w:rsidRPr="00DD6555" w:rsidRDefault="001223E5" w:rsidP="001223E5">
      <w:pPr>
        <w:widowControl w:val="0"/>
        <w:spacing w:before="120" w:after="120"/>
        <w:ind w:left="567" w:hanging="283"/>
        <w:jc w:val="both"/>
        <w:rPr>
          <w:rFonts w:ascii="Arial" w:hAnsi="Arial" w:cs="Arial"/>
          <w:snapToGrid w:val="0"/>
          <w:sz w:val="20"/>
        </w:rPr>
      </w:pPr>
      <w:r>
        <w:rPr>
          <w:rFonts w:ascii="Arial" w:hAnsi="Arial" w:cs="Arial"/>
          <w:snapToGrid w:val="0"/>
          <w:sz w:val="20"/>
        </w:rPr>
        <w:t xml:space="preserve">     </w:t>
      </w:r>
      <w:r w:rsidR="00A76140">
        <w:rPr>
          <w:rFonts w:ascii="Arial" w:hAnsi="Arial" w:cs="Arial"/>
          <w:snapToGrid w:val="0"/>
          <w:sz w:val="20"/>
        </w:rPr>
        <w:t xml:space="preserve">- </w:t>
      </w:r>
      <w:r w:rsidR="00586176" w:rsidRPr="00586176">
        <w:rPr>
          <w:rFonts w:ascii="Arial" w:hAnsi="Arial" w:cs="Arial"/>
          <w:snapToGrid w:val="0"/>
          <w:sz w:val="20"/>
        </w:rPr>
        <w:t>Crediti verso im</w:t>
      </w:r>
      <w:r w:rsidR="00DD6555">
        <w:rPr>
          <w:rFonts w:ascii="Arial" w:hAnsi="Arial" w:cs="Arial"/>
          <w:snapToGrid w:val="0"/>
          <w:sz w:val="20"/>
        </w:rPr>
        <w:t>prese controllanti,</w:t>
      </w:r>
      <w:r w:rsidR="00586176" w:rsidRPr="00586176">
        <w:rPr>
          <w:rFonts w:ascii="Arial" w:hAnsi="Arial" w:cs="Arial"/>
          <w:snapToGrid w:val="0"/>
          <w:sz w:val="20"/>
        </w:rPr>
        <w:t xml:space="preserve"> collegate</w:t>
      </w:r>
      <w:r w:rsidR="00DD6555">
        <w:rPr>
          <w:rFonts w:ascii="Arial" w:hAnsi="Arial" w:cs="Arial"/>
          <w:snapToGrid w:val="0"/>
          <w:sz w:val="20"/>
        </w:rPr>
        <w:t xml:space="preserve"> </w:t>
      </w:r>
      <w:r w:rsidR="00DD6555" w:rsidRPr="00DD6555">
        <w:rPr>
          <w:rFonts w:ascii="Arial" w:hAnsi="Arial" w:cs="Arial"/>
          <w:snapToGrid w:val="0"/>
          <w:sz w:val="20"/>
        </w:rPr>
        <w:t>ed imprese sottoposte al controllo delle controllanti;</w:t>
      </w:r>
    </w:p>
    <w:p w14:paraId="6CB05461" w14:textId="77777777" w:rsidR="00586176" w:rsidRPr="00586176" w:rsidRDefault="006215A5"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00586176" w:rsidRPr="00586176">
        <w:rPr>
          <w:rFonts w:ascii="Arial" w:hAnsi="Arial" w:cs="Arial"/>
          <w:snapToGrid w:val="0"/>
          <w:sz w:val="20"/>
        </w:rPr>
        <w:t>Crediti verso enti pubblici di riferimento</w:t>
      </w:r>
      <w:r>
        <w:rPr>
          <w:rFonts w:ascii="Arial" w:hAnsi="Arial" w:cs="Arial"/>
          <w:snapToGrid w:val="0"/>
          <w:sz w:val="20"/>
        </w:rPr>
        <w:t>;</w:t>
      </w:r>
    </w:p>
    <w:p w14:paraId="43A2081F" w14:textId="77777777" w:rsidR="00586176" w:rsidRPr="00586176" w:rsidRDefault="006215A5"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00586176" w:rsidRPr="00586176">
        <w:rPr>
          <w:rFonts w:ascii="Arial" w:hAnsi="Arial" w:cs="Arial"/>
          <w:snapToGrid w:val="0"/>
          <w:sz w:val="20"/>
        </w:rPr>
        <w:t>Crediti verso altri</w:t>
      </w:r>
      <w:r>
        <w:rPr>
          <w:rFonts w:ascii="Arial" w:hAnsi="Arial" w:cs="Arial"/>
          <w:snapToGrid w:val="0"/>
          <w:sz w:val="20"/>
        </w:rPr>
        <w:t>.</w:t>
      </w:r>
    </w:p>
    <w:p w14:paraId="3A1E62E8" w14:textId="77777777" w:rsidR="00586176" w:rsidRPr="00586176" w:rsidRDefault="0039453B"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Sono stati, inoltre, </w:t>
      </w:r>
      <w:r w:rsidR="00586176" w:rsidRPr="00586176">
        <w:rPr>
          <w:rFonts w:ascii="Arial" w:hAnsi="Arial" w:cs="Arial"/>
          <w:snapToGrid w:val="0"/>
          <w:sz w:val="20"/>
        </w:rPr>
        <w:t>suddivisi in base alla scadenza, in:</w:t>
      </w:r>
    </w:p>
    <w:p w14:paraId="3AC5295C" w14:textId="77777777" w:rsidR="00586176" w:rsidRPr="00586176" w:rsidRDefault="006215A5" w:rsidP="001223E5">
      <w:pPr>
        <w:widowControl w:val="0"/>
        <w:spacing w:before="120" w:after="120"/>
        <w:ind w:left="567"/>
        <w:jc w:val="both"/>
        <w:rPr>
          <w:rFonts w:ascii="Arial" w:hAnsi="Arial" w:cs="Arial"/>
          <w:snapToGrid w:val="0"/>
          <w:sz w:val="20"/>
        </w:rPr>
      </w:pPr>
      <w:r>
        <w:rPr>
          <w:rFonts w:ascii="Arial" w:hAnsi="Arial" w:cs="Arial"/>
          <w:snapToGrid w:val="0"/>
          <w:sz w:val="20"/>
        </w:rPr>
        <w:t xml:space="preserve">-  </w:t>
      </w:r>
      <w:r w:rsidR="00586176" w:rsidRPr="00586176">
        <w:rPr>
          <w:rFonts w:ascii="Arial" w:hAnsi="Arial" w:cs="Arial"/>
          <w:snapToGrid w:val="0"/>
          <w:sz w:val="20"/>
        </w:rPr>
        <w:t>Crediti a breve, con esigibilità prevista entro i dodici mesi</w:t>
      </w:r>
      <w:r>
        <w:rPr>
          <w:rFonts w:ascii="Arial" w:hAnsi="Arial" w:cs="Arial"/>
          <w:snapToGrid w:val="0"/>
          <w:sz w:val="20"/>
        </w:rPr>
        <w:t>;</w:t>
      </w:r>
    </w:p>
    <w:p w14:paraId="38D08869" w14:textId="77777777" w:rsidR="00586176" w:rsidRPr="00586176" w:rsidRDefault="006215A5" w:rsidP="00A72AF8">
      <w:pPr>
        <w:widowControl w:val="0"/>
        <w:spacing w:before="120" w:after="120"/>
        <w:ind w:left="709" w:hanging="142"/>
        <w:jc w:val="both"/>
        <w:rPr>
          <w:rFonts w:ascii="Arial" w:hAnsi="Arial" w:cs="Arial"/>
          <w:snapToGrid w:val="0"/>
          <w:sz w:val="20"/>
        </w:rPr>
      </w:pPr>
      <w:r>
        <w:rPr>
          <w:rFonts w:ascii="Arial" w:hAnsi="Arial" w:cs="Arial"/>
          <w:snapToGrid w:val="0"/>
          <w:sz w:val="20"/>
        </w:rPr>
        <w:t xml:space="preserve">- </w:t>
      </w:r>
      <w:r w:rsidR="00586176" w:rsidRPr="00586176">
        <w:rPr>
          <w:rFonts w:ascii="Arial" w:hAnsi="Arial" w:cs="Arial"/>
          <w:snapToGrid w:val="0"/>
          <w:sz w:val="20"/>
        </w:rPr>
        <w:t>Crediti a medio e lungo termine, con esigibilità prevista oltre i dodici mesi, in modo da separare le attività da ricomprendersi tra le immobilizzazioni (finanziarie) dalle poste dell’attivo circolante, al fine di consentire, in modo univoco e chiaro, al presente bilancio di esprimere il grado di rigidità e/o flessibilità della gestione aziendale;</w:t>
      </w:r>
    </w:p>
    <w:p w14:paraId="330E03C1" w14:textId="77777777" w:rsidR="00586176" w:rsidRPr="00586176" w:rsidRDefault="0039453B" w:rsidP="001223E5">
      <w:pPr>
        <w:widowControl w:val="0"/>
        <w:spacing w:before="120" w:after="120"/>
        <w:jc w:val="both"/>
        <w:rPr>
          <w:rFonts w:ascii="Arial" w:hAnsi="Arial" w:cs="Arial"/>
          <w:snapToGrid w:val="0"/>
          <w:sz w:val="20"/>
        </w:rPr>
      </w:pPr>
      <w:r>
        <w:rPr>
          <w:rFonts w:ascii="Arial" w:hAnsi="Arial" w:cs="Arial"/>
          <w:snapToGrid w:val="0"/>
          <w:sz w:val="20"/>
        </w:rPr>
        <w:t xml:space="preserve">Sono stati altresì </w:t>
      </w:r>
      <w:r w:rsidR="00586176" w:rsidRPr="00586176">
        <w:rPr>
          <w:rFonts w:ascii="Arial" w:hAnsi="Arial" w:cs="Arial"/>
          <w:snapToGrid w:val="0"/>
          <w:sz w:val="20"/>
        </w:rPr>
        <w:t>distintamente indicati in bilancio in relazione al loro grado di esigibilità (certi, di dubbia esigibilità o in contestazione, non esigibili);</w:t>
      </w:r>
    </w:p>
    <w:p w14:paraId="3BB2D443" w14:textId="77777777" w:rsidR="00586176" w:rsidRDefault="00586176" w:rsidP="001223E5">
      <w:pPr>
        <w:widowControl w:val="0"/>
        <w:spacing w:before="120" w:after="120"/>
        <w:jc w:val="both"/>
        <w:rPr>
          <w:rFonts w:ascii="Arial" w:hAnsi="Arial" w:cs="Arial"/>
          <w:snapToGrid w:val="0"/>
          <w:sz w:val="20"/>
        </w:rPr>
      </w:pPr>
      <w:r w:rsidRPr="00586176">
        <w:rPr>
          <w:rFonts w:ascii="Arial" w:hAnsi="Arial" w:cs="Arial"/>
          <w:snapToGrid w:val="0"/>
          <w:sz w:val="20"/>
        </w:rPr>
        <w:t xml:space="preserve">Sono stati, </w:t>
      </w:r>
      <w:r w:rsidR="0039453B">
        <w:rPr>
          <w:rFonts w:ascii="Arial" w:hAnsi="Arial" w:cs="Arial"/>
          <w:snapToGrid w:val="0"/>
          <w:sz w:val="20"/>
        </w:rPr>
        <w:t xml:space="preserve">infine, </w:t>
      </w:r>
      <w:r w:rsidRPr="00586176">
        <w:rPr>
          <w:rFonts w:ascii="Arial" w:hAnsi="Arial" w:cs="Arial"/>
          <w:snapToGrid w:val="0"/>
          <w:sz w:val="20"/>
        </w:rPr>
        <w:t xml:space="preserve">evidenziati separatamente i fondi svalutazione </w:t>
      </w:r>
      <w:r w:rsidR="00693B59" w:rsidRPr="00586176">
        <w:rPr>
          <w:rFonts w:ascii="Arial" w:hAnsi="Arial" w:cs="Arial"/>
          <w:snapToGrid w:val="0"/>
          <w:sz w:val="20"/>
        </w:rPr>
        <w:t>a</w:t>
      </w:r>
      <w:r w:rsidR="00693B59">
        <w:rPr>
          <w:rFonts w:ascii="Arial" w:hAnsi="Arial" w:cs="Arial"/>
          <w:snapToGrid w:val="0"/>
          <w:sz w:val="20"/>
        </w:rPr>
        <w:t xml:space="preserve">d </w:t>
      </w:r>
      <w:r w:rsidRPr="00586176">
        <w:rPr>
          <w:rFonts w:ascii="Arial" w:hAnsi="Arial" w:cs="Arial"/>
          <w:snapToGrid w:val="0"/>
          <w:sz w:val="20"/>
        </w:rPr>
        <w:t>uopo accantonati già nei precedenti esercizi e gli eventuali incrementi e/o utilizzi a copertura perdite future e/o realizzate.</w:t>
      </w:r>
    </w:p>
    <w:p w14:paraId="5685DD50" w14:textId="77777777" w:rsidR="00586176" w:rsidRPr="00586176" w:rsidRDefault="00586176" w:rsidP="001223E5">
      <w:pPr>
        <w:widowControl w:val="0"/>
        <w:spacing w:before="120" w:after="120"/>
        <w:rPr>
          <w:rFonts w:ascii="Arial" w:hAnsi="Arial" w:cs="Arial"/>
          <w:b/>
          <w:snapToGrid w:val="0"/>
          <w:sz w:val="20"/>
        </w:rPr>
      </w:pPr>
      <w:r>
        <w:rPr>
          <w:rFonts w:ascii="Arial" w:hAnsi="Arial" w:cs="Arial"/>
          <w:b/>
          <w:snapToGrid w:val="0"/>
          <w:sz w:val="20"/>
        </w:rPr>
        <w:t>Disponibilità Liquide</w:t>
      </w:r>
    </w:p>
    <w:p w14:paraId="68883122" w14:textId="77777777" w:rsidR="00586176" w:rsidRPr="00586176" w:rsidRDefault="00586176" w:rsidP="001223E5">
      <w:pPr>
        <w:widowControl w:val="0"/>
        <w:tabs>
          <w:tab w:val="left" w:pos="1620"/>
        </w:tabs>
        <w:spacing w:before="120" w:after="120"/>
        <w:jc w:val="both"/>
        <w:rPr>
          <w:rFonts w:ascii="Arial" w:hAnsi="Arial" w:cs="Arial"/>
          <w:snapToGrid w:val="0"/>
          <w:sz w:val="20"/>
        </w:rPr>
      </w:pPr>
      <w:r w:rsidRPr="00586176">
        <w:rPr>
          <w:rFonts w:ascii="Arial" w:hAnsi="Arial" w:cs="Arial"/>
          <w:snapToGrid w:val="0"/>
          <w:sz w:val="20"/>
        </w:rPr>
        <w:t>Sono iscritte per il loro effettivo importo in base al loro valore nominale.</w:t>
      </w:r>
    </w:p>
    <w:p w14:paraId="4BD1D4D8" w14:textId="77777777" w:rsidR="00EE4AF0" w:rsidRDefault="00EE4AF0" w:rsidP="001223E5">
      <w:pPr>
        <w:widowControl w:val="0"/>
        <w:spacing w:before="120" w:after="120"/>
        <w:rPr>
          <w:rFonts w:ascii="Arial" w:hAnsi="Arial" w:cs="Arial"/>
          <w:b/>
          <w:snapToGrid w:val="0"/>
          <w:sz w:val="20"/>
        </w:rPr>
      </w:pPr>
      <w:r>
        <w:rPr>
          <w:rFonts w:ascii="Arial" w:hAnsi="Arial" w:cs="Arial"/>
          <w:b/>
          <w:snapToGrid w:val="0"/>
          <w:sz w:val="20"/>
        </w:rPr>
        <w:t>Fondi rischi ed oneri</w:t>
      </w:r>
    </w:p>
    <w:p w14:paraId="4BDF4719" w14:textId="77777777" w:rsidR="00CA69A1" w:rsidRPr="00CA69A1" w:rsidRDefault="00CA69A1" w:rsidP="001223E5">
      <w:pPr>
        <w:widowControl w:val="0"/>
        <w:tabs>
          <w:tab w:val="left" w:pos="1627"/>
        </w:tabs>
        <w:jc w:val="both"/>
        <w:rPr>
          <w:rFonts w:ascii="Arial" w:hAnsi="Arial" w:cs="Arial"/>
          <w:snapToGrid w:val="0"/>
          <w:sz w:val="20"/>
        </w:rPr>
      </w:pPr>
      <w:r w:rsidRPr="00CA69A1">
        <w:rPr>
          <w:rFonts w:ascii="Arial" w:hAnsi="Arial" w:cs="Arial"/>
          <w:snapToGrid w:val="0"/>
          <w:sz w:val="20"/>
        </w:rPr>
        <w:t>Gli accantonamenti per rischi ed oneri sono stati computati ed esposti in bilancio per la</w:t>
      </w:r>
      <w:r>
        <w:rPr>
          <w:rFonts w:ascii="Arial" w:hAnsi="Arial" w:cs="Arial"/>
          <w:snapToGrid w:val="0"/>
          <w:sz w:val="20"/>
        </w:rPr>
        <w:t xml:space="preserve"> </w:t>
      </w:r>
      <w:r w:rsidRPr="00CA69A1">
        <w:rPr>
          <w:rFonts w:ascii="Arial" w:hAnsi="Arial" w:cs="Arial"/>
          <w:snapToGrid w:val="0"/>
          <w:sz w:val="20"/>
        </w:rPr>
        <w:t>copertura di perdite e/o debiti di natura determinata, di esistenza certa o probabile di cui alla</w:t>
      </w:r>
      <w:r>
        <w:rPr>
          <w:rFonts w:ascii="Arial" w:hAnsi="Arial" w:cs="Arial"/>
          <w:snapToGrid w:val="0"/>
          <w:sz w:val="20"/>
        </w:rPr>
        <w:t xml:space="preserve"> </w:t>
      </w:r>
      <w:r w:rsidRPr="00CA69A1">
        <w:rPr>
          <w:rFonts w:ascii="Arial" w:hAnsi="Arial" w:cs="Arial"/>
          <w:snapToGrid w:val="0"/>
          <w:sz w:val="20"/>
        </w:rPr>
        <w:t>chiusura dell’esercizio sono indeterminati o l’ammontare o la data di sopravvenienza (art. 2424</w:t>
      </w:r>
    </w:p>
    <w:p w14:paraId="4FB761BF" w14:textId="77777777" w:rsidR="00CA69A1" w:rsidRPr="00CA69A1" w:rsidRDefault="00CA69A1" w:rsidP="001223E5">
      <w:pPr>
        <w:widowControl w:val="0"/>
        <w:tabs>
          <w:tab w:val="left" w:pos="1627"/>
        </w:tabs>
        <w:jc w:val="both"/>
        <w:rPr>
          <w:rFonts w:ascii="Arial" w:hAnsi="Arial" w:cs="Arial"/>
          <w:snapToGrid w:val="0"/>
          <w:sz w:val="20"/>
        </w:rPr>
      </w:pPr>
      <w:r w:rsidRPr="00CA69A1">
        <w:rPr>
          <w:rFonts w:ascii="Arial" w:hAnsi="Arial" w:cs="Arial"/>
          <w:snapToGrid w:val="0"/>
          <w:sz w:val="20"/>
        </w:rPr>
        <w:t>bis c.c., terzo comma).</w:t>
      </w:r>
    </w:p>
    <w:p w14:paraId="492DCA28" w14:textId="678E14A7" w:rsidR="00842641" w:rsidRPr="00AD44C7" w:rsidRDefault="00CA69A1" w:rsidP="001223E5">
      <w:pPr>
        <w:widowControl w:val="0"/>
        <w:tabs>
          <w:tab w:val="left" w:pos="1627"/>
        </w:tabs>
        <w:jc w:val="both"/>
        <w:rPr>
          <w:rFonts w:ascii="Arial" w:hAnsi="Arial" w:cs="Arial"/>
          <w:snapToGrid w:val="0"/>
          <w:sz w:val="20"/>
        </w:rPr>
      </w:pPr>
      <w:r w:rsidRPr="00CA69A1">
        <w:rPr>
          <w:rFonts w:ascii="Arial" w:hAnsi="Arial" w:cs="Arial"/>
          <w:snapToGrid w:val="0"/>
          <w:sz w:val="20"/>
        </w:rPr>
        <w:t>I fondi per rischi ed oneri comprendono gli accantonamenti effettuati ai fini della copertura di</w:t>
      </w:r>
      <w:r>
        <w:rPr>
          <w:rFonts w:ascii="Arial" w:hAnsi="Arial" w:cs="Arial"/>
          <w:snapToGrid w:val="0"/>
          <w:sz w:val="20"/>
        </w:rPr>
        <w:t xml:space="preserve"> </w:t>
      </w:r>
      <w:r w:rsidRPr="00CA69A1">
        <w:rPr>
          <w:rFonts w:ascii="Arial" w:hAnsi="Arial" w:cs="Arial"/>
          <w:snapToGrid w:val="0"/>
          <w:sz w:val="20"/>
        </w:rPr>
        <w:t>potenziali oneri e controversie commerciali, legali, fiscal</w:t>
      </w:r>
      <w:r w:rsidR="00842641">
        <w:rPr>
          <w:rFonts w:ascii="Arial" w:hAnsi="Arial" w:cs="Arial"/>
          <w:snapToGrid w:val="0"/>
          <w:sz w:val="20"/>
        </w:rPr>
        <w:t>i e con il personale dipendente</w:t>
      </w:r>
      <w:r w:rsidR="00842641" w:rsidRPr="00AD44C7">
        <w:rPr>
          <w:rFonts w:ascii="Arial" w:hAnsi="Arial" w:cs="Arial"/>
          <w:snapToGrid w:val="0"/>
          <w:sz w:val="20"/>
        </w:rPr>
        <w:t>. Gli accantonamenti ai fondi rischi e oneri sono iscritti prioritariamente nelle voci di costo di conto economico delle pertinenti classi (</w:t>
      </w:r>
      <w:r w:rsidR="00CC7FDA" w:rsidRPr="00AD44C7">
        <w:rPr>
          <w:rFonts w:ascii="Arial" w:hAnsi="Arial" w:cs="Arial"/>
          <w:snapToGrid w:val="0"/>
          <w:sz w:val="20"/>
        </w:rPr>
        <w:t xml:space="preserve">B, </w:t>
      </w:r>
      <w:r w:rsidR="00D65236" w:rsidRPr="00AD44C7">
        <w:rPr>
          <w:rFonts w:ascii="Arial" w:hAnsi="Arial" w:cs="Arial"/>
          <w:snapToGrid w:val="0"/>
          <w:sz w:val="20"/>
        </w:rPr>
        <w:t>C, D</w:t>
      </w:r>
      <w:r w:rsidR="00842641" w:rsidRPr="00AD44C7">
        <w:rPr>
          <w:rFonts w:ascii="Arial" w:hAnsi="Arial" w:cs="Arial"/>
          <w:snapToGrid w:val="0"/>
          <w:sz w:val="20"/>
        </w:rPr>
        <w:t xml:space="preserve">). Tutte le volte in cui non è attuabile questa correla </w:t>
      </w:r>
      <w:r w:rsidR="00662FD0" w:rsidRPr="00AD44C7">
        <w:rPr>
          <w:rFonts w:ascii="Arial" w:hAnsi="Arial" w:cs="Arial"/>
          <w:snapToGrid w:val="0"/>
          <w:sz w:val="20"/>
        </w:rPr>
        <w:t>zione tra</w:t>
      </w:r>
      <w:r w:rsidR="00842641" w:rsidRPr="00AD44C7">
        <w:rPr>
          <w:rFonts w:ascii="Arial" w:hAnsi="Arial" w:cs="Arial"/>
          <w:snapToGrid w:val="0"/>
          <w:sz w:val="20"/>
        </w:rPr>
        <w:t xml:space="preserve"> la natura dell’accantonamento ed una delle voci delle suddette classi, gli accantonamenti per rischi ed oneri sono iscritti alle voci B12 e B13 del conto economico.  </w:t>
      </w:r>
    </w:p>
    <w:p w14:paraId="7CB13E57" w14:textId="77777777" w:rsidR="00EE4AF0" w:rsidRDefault="00842641" w:rsidP="001223E5">
      <w:pPr>
        <w:widowControl w:val="0"/>
        <w:tabs>
          <w:tab w:val="left" w:pos="1627"/>
        </w:tabs>
        <w:jc w:val="both"/>
        <w:rPr>
          <w:rFonts w:ascii="Arial" w:hAnsi="Arial" w:cs="Arial"/>
          <w:snapToGrid w:val="0"/>
          <w:sz w:val="20"/>
        </w:rPr>
      </w:pPr>
      <w:r w:rsidRPr="00AD44C7">
        <w:rPr>
          <w:rFonts w:ascii="Arial" w:hAnsi="Arial" w:cs="Arial"/>
          <w:snapToGrid w:val="0"/>
          <w:sz w:val="20"/>
        </w:rPr>
        <w:t>Pe</w:t>
      </w:r>
      <w:r w:rsidR="00796F2F" w:rsidRPr="00AD44C7">
        <w:rPr>
          <w:rFonts w:ascii="Arial" w:hAnsi="Arial" w:cs="Arial"/>
          <w:snapToGrid w:val="0"/>
          <w:sz w:val="20"/>
        </w:rPr>
        <w:t xml:space="preserve">r i dettagli si rinvia </w:t>
      </w:r>
      <w:r w:rsidR="00CA69A1" w:rsidRPr="00AD44C7">
        <w:rPr>
          <w:rFonts w:ascii="Arial" w:hAnsi="Arial" w:cs="Arial"/>
          <w:snapToGrid w:val="0"/>
          <w:sz w:val="20"/>
        </w:rPr>
        <w:t>al seguito della presente nota integrativa.</w:t>
      </w:r>
    </w:p>
    <w:p w14:paraId="36B17955" w14:textId="77777777" w:rsidR="00EE4AF0" w:rsidRDefault="00EE4AF0" w:rsidP="001223E5">
      <w:pPr>
        <w:widowControl w:val="0"/>
        <w:spacing w:before="120" w:after="120"/>
        <w:rPr>
          <w:rFonts w:ascii="Arial" w:hAnsi="Arial" w:cs="Arial"/>
          <w:b/>
          <w:snapToGrid w:val="0"/>
          <w:sz w:val="20"/>
        </w:rPr>
      </w:pPr>
      <w:r>
        <w:rPr>
          <w:rFonts w:ascii="Arial" w:hAnsi="Arial" w:cs="Arial"/>
          <w:b/>
          <w:snapToGrid w:val="0"/>
          <w:sz w:val="20"/>
        </w:rPr>
        <w:lastRenderedPageBreak/>
        <w:t>Fondo TFR</w:t>
      </w:r>
    </w:p>
    <w:p w14:paraId="518870BE" w14:textId="77777777" w:rsidR="003B00DE" w:rsidRPr="003B00DE" w:rsidRDefault="003B00DE" w:rsidP="001223E5">
      <w:pPr>
        <w:widowControl w:val="0"/>
        <w:tabs>
          <w:tab w:val="left" w:pos="1627"/>
        </w:tabs>
        <w:jc w:val="both"/>
        <w:rPr>
          <w:rFonts w:ascii="Arial" w:hAnsi="Arial" w:cs="Arial"/>
          <w:snapToGrid w:val="0"/>
          <w:sz w:val="20"/>
        </w:rPr>
      </w:pPr>
      <w:r w:rsidRPr="003B00DE">
        <w:rPr>
          <w:rFonts w:ascii="Arial" w:hAnsi="Arial" w:cs="Arial"/>
          <w:snapToGrid w:val="0"/>
          <w:sz w:val="20"/>
        </w:rPr>
        <w:t>Nella voce sono state indicate le indennità di fine rapporto determinate in conformità al</w:t>
      </w:r>
      <w:r>
        <w:rPr>
          <w:rFonts w:ascii="Arial" w:hAnsi="Arial" w:cs="Arial"/>
          <w:snapToGrid w:val="0"/>
          <w:sz w:val="20"/>
        </w:rPr>
        <w:t xml:space="preserve"> </w:t>
      </w:r>
      <w:r w:rsidRPr="003B00DE">
        <w:rPr>
          <w:rFonts w:ascii="Arial" w:hAnsi="Arial" w:cs="Arial"/>
          <w:snapToGrid w:val="0"/>
          <w:sz w:val="20"/>
        </w:rPr>
        <w:t>disposto dell’art. 2120 c.c., del Contratto Collettivo Nazionale di categoria e relative</w:t>
      </w:r>
      <w:r>
        <w:rPr>
          <w:rFonts w:ascii="Arial" w:hAnsi="Arial" w:cs="Arial"/>
          <w:snapToGrid w:val="0"/>
          <w:sz w:val="20"/>
        </w:rPr>
        <w:t xml:space="preserve"> </w:t>
      </w:r>
      <w:r w:rsidRPr="003B00DE">
        <w:rPr>
          <w:rFonts w:ascii="Arial" w:hAnsi="Arial" w:cs="Arial"/>
          <w:snapToGrid w:val="0"/>
          <w:sz w:val="20"/>
        </w:rPr>
        <w:t>integrazioni, in vigore alla data del presente bilancio.</w:t>
      </w:r>
    </w:p>
    <w:p w14:paraId="7A5A1212" w14:textId="77777777" w:rsidR="003B00DE" w:rsidRPr="003B00DE" w:rsidRDefault="003B00DE" w:rsidP="001223E5">
      <w:pPr>
        <w:widowControl w:val="0"/>
        <w:tabs>
          <w:tab w:val="left" w:pos="1627"/>
        </w:tabs>
        <w:jc w:val="both"/>
        <w:rPr>
          <w:rFonts w:ascii="Arial" w:hAnsi="Arial" w:cs="Arial"/>
          <w:snapToGrid w:val="0"/>
          <w:sz w:val="20"/>
        </w:rPr>
      </w:pPr>
      <w:r w:rsidRPr="003B00DE">
        <w:rPr>
          <w:rFonts w:ascii="Arial" w:hAnsi="Arial" w:cs="Arial"/>
          <w:snapToGrid w:val="0"/>
          <w:sz w:val="20"/>
        </w:rPr>
        <w:t>La voce è esposta al netto degli importi corrisposti al personale in sede di liquidazione e degli</w:t>
      </w:r>
      <w:r>
        <w:rPr>
          <w:rFonts w:ascii="Arial" w:hAnsi="Arial" w:cs="Arial"/>
          <w:snapToGrid w:val="0"/>
          <w:sz w:val="20"/>
        </w:rPr>
        <w:t xml:space="preserve"> </w:t>
      </w:r>
      <w:r w:rsidRPr="003B00DE">
        <w:rPr>
          <w:rFonts w:ascii="Arial" w:hAnsi="Arial" w:cs="Arial"/>
          <w:snapToGrid w:val="0"/>
          <w:sz w:val="20"/>
        </w:rPr>
        <w:t>anticipi, nonché degli importi utilizzati per il computo dell’imposta sostitutiva dovuta all’Erario</w:t>
      </w:r>
      <w:r>
        <w:rPr>
          <w:rFonts w:ascii="Arial" w:hAnsi="Arial" w:cs="Arial"/>
          <w:snapToGrid w:val="0"/>
          <w:sz w:val="20"/>
        </w:rPr>
        <w:t xml:space="preserve"> </w:t>
      </w:r>
      <w:r w:rsidRPr="003B00DE">
        <w:rPr>
          <w:rFonts w:ascii="Arial" w:hAnsi="Arial" w:cs="Arial"/>
          <w:snapToGrid w:val="0"/>
          <w:sz w:val="20"/>
        </w:rPr>
        <w:t>a norma del DLgs 47/2000 di cui all’art. 11.</w:t>
      </w:r>
    </w:p>
    <w:p w14:paraId="6C742FB4" w14:textId="77777777" w:rsidR="003B00DE" w:rsidRDefault="00604761" w:rsidP="001223E5">
      <w:pPr>
        <w:widowControl w:val="0"/>
        <w:tabs>
          <w:tab w:val="left" w:pos="1627"/>
        </w:tabs>
        <w:jc w:val="both"/>
        <w:rPr>
          <w:rFonts w:ascii="Arial" w:hAnsi="Arial" w:cs="Arial"/>
          <w:snapToGrid w:val="0"/>
          <w:sz w:val="20"/>
        </w:rPr>
      </w:pPr>
      <w:r>
        <w:rPr>
          <w:rFonts w:ascii="Arial" w:hAnsi="Arial" w:cs="Arial"/>
          <w:snapToGrid w:val="0"/>
          <w:sz w:val="20"/>
        </w:rPr>
        <w:t xml:space="preserve">Dal primo gennaio 2007, per quanto riguarda l’ANM Spa, </w:t>
      </w:r>
      <w:r w:rsidR="003B00DE" w:rsidRPr="003B00DE">
        <w:rPr>
          <w:rFonts w:ascii="Arial" w:hAnsi="Arial" w:cs="Arial"/>
          <w:snapToGrid w:val="0"/>
          <w:sz w:val="20"/>
        </w:rPr>
        <w:t>secondo quanto previsto dalla Legge 27 dicembre 2006 n.</w:t>
      </w:r>
      <w:r w:rsidR="002F2C20">
        <w:rPr>
          <w:rFonts w:ascii="Arial" w:hAnsi="Arial" w:cs="Arial"/>
          <w:snapToGrid w:val="0"/>
          <w:sz w:val="20"/>
        </w:rPr>
        <w:t xml:space="preserve"> </w:t>
      </w:r>
      <w:r w:rsidR="003B00DE" w:rsidRPr="003B00DE">
        <w:rPr>
          <w:rFonts w:ascii="Arial" w:hAnsi="Arial" w:cs="Arial"/>
          <w:snapToGrid w:val="0"/>
          <w:sz w:val="20"/>
        </w:rPr>
        <w:t>296, la</w:t>
      </w:r>
      <w:r w:rsidR="003B00DE">
        <w:rPr>
          <w:rFonts w:ascii="Arial" w:hAnsi="Arial" w:cs="Arial"/>
          <w:snapToGrid w:val="0"/>
          <w:sz w:val="20"/>
        </w:rPr>
        <w:t xml:space="preserve"> </w:t>
      </w:r>
      <w:r w:rsidR="003B00DE" w:rsidRPr="003B00DE">
        <w:rPr>
          <w:rFonts w:ascii="Arial" w:hAnsi="Arial" w:cs="Arial"/>
          <w:snapToGrid w:val="0"/>
          <w:sz w:val="20"/>
        </w:rPr>
        <w:t>quota di esercizio maturata a favore del personale in forza a fine esercizio è stata calcolata nella</w:t>
      </w:r>
      <w:r w:rsidR="003B00DE">
        <w:rPr>
          <w:rFonts w:ascii="Arial" w:hAnsi="Arial" w:cs="Arial"/>
          <w:snapToGrid w:val="0"/>
          <w:sz w:val="20"/>
        </w:rPr>
        <w:t xml:space="preserve"> </w:t>
      </w:r>
      <w:r w:rsidR="003B00DE" w:rsidRPr="003B00DE">
        <w:rPr>
          <w:rFonts w:ascii="Arial" w:hAnsi="Arial" w:cs="Arial"/>
          <w:snapToGrid w:val="0"/>
          <w:sz w:val="20"/>
        </w:rPr>
        <w:t>misura dovuta alle forme di previdenza complementare ovvero al fondo di Tesoreria istituito</w:t>
      </w:r>
      <w:r w:rsidR="003B00DE">
        <w:rPr>
          <w:rFonts w:ascii="Arial" w:hAnsi="Arial" w:cs="Arial"/>
          <w:snapToGrid w:val="0"/>
          <w:sz w:val="20"/>
        </w:rPr>
        <w:t xml:space="preserve"> </w:t>
      </w:r>
      <w:r w:rsidR="003B00DE" w:rsidRPr="003B00DE">
        <w:rPr>
          <w:rFonts w:ascii="Arial" w:hAnsi="Arial" w:cs="Arial"/>
          <w:snapToGrid w:val="0"/>
          <w:sz w:val="20"/>
        </w:rPr>
        <w:t>presso l’INPS, a seconda della scelta manifestata in ragione delle modalità di adesione esplicita</w:t>
      </w:r>
      <w:r w:rsidR="003B00DE">
        <w:rPr>
          <w:rFonts w:ascii="Arial" w:hAnsi="Arial" w:cs="Arial"/>
          <w:snapToGrid w:val="0"/>
          <w:sz w:val="20"/>
        </w:rPr>
        <w:t xml:space="preserve"> </w:t>
      </w:r>
      <w:r w:rsidR="003B00DE" w:rsidRPr="003B00DE">
        <w:rPr>
          <w:rFonts w:ascii="Arial" w:hAnsi="Arial" w:cs="Arial"/>
          <w:snapToGrid w:val="0"/>
          <w:sz w:val="20"/>
        </w:rPr>
        <w:t>o tacita dei singoli lavoratori.</w:t>
      </w:r>
      <w:r>
        <w:rPr>
          <w:rFonts w:ascii="Arial" w:hAnsi="Arial" w:cs="Arial"/>
          <w:snapToGrid w:val="0"/>
          <w:sz w:val="20"/>
        </w:rPr>
        <w:t xml:space="preserve"> Mentre per quanto riguarda la Napoli Holding, non raggiungendo il limite di almeno 50 dipendenti, la scelta dei dipendenti ha </w:t>
      </w:r>
      <w:r w:rsidR="00CC7FDA">
        <w:rPr>
          <w:rFonts w:ascii="Arial" w:hAnsi="Arial" w:cs="Arial"/>
          <w:snapToGrid w:val="0"/>
          <w:sz w:val="20"/>
        </w:rPr>
        <w:t>comportato la</w:t>
      </w:r>
      <w:r>
        <w:rPr>
          <w:rFonts w:ascii="Arial" w:hAnsi="Arial" w:cs="Arial"/>
          <w:snapToGrid w:val="0"/>
          <w:sz w:val="20"/>
        </w:rPr>
        <w:t xml:space="preserve"> conservazione dello stesso in capo alla società.</w:t>
      </w:r>
    </w:p>
    <w:p w14:paraId="4056ED46" w14:textId="77777777" w:rsidR="00EE4AF0" w:rsidRDefault="00EE4AF0" w:rsidP="001223E5">
      <w:pPr>
        <w:widowControl w:val="0"/>
        <w:spacing w:before="120" w:after="120"/>
        <w:rPr>
          <w:rFonts w:ascii="Arial" w:hAnsi="Arial" w:cs="Arial"/>
          <w:b/>
          <w:snapToGrid w:val="0"/>
          <w:sz w:val="20"/>
        </w:rPr>
      </w:pPr>
      <w:r>
        <w:rPr>
          <w:rFonts w:ascii="Arial" w:hAnsi="Arial" w:cs="Arial"/>
          <w:b/>
          <w:snapToGrid w:val="0"/>
          <w:sz w:val="20"/>
        </w:rPr>
        <w:t>Debiti</w:t>
      </w:r>
    </w:p>
    <w:p w14:paraId="61D96B06" w14:textId="77777777" w:rsidR="002C1520" w:rsidRPr="00D151AD" w:rsidRDefault="002C1520" w:rsidP="001223E5">
      <w:pPr>
        <w:widowControl w:val="0"/>
        <w:tabs>
          <w:tab w:val="left" w:pos="1627"/>
        </w:tabs>
        <w:jc w:val="both"/>
        <w:rPr>
          <w:rFonts w:ascii="Arial" w:hAnsi="Arial" w:cs="Arial"/>
          <w:snapToGrid w:val="0"/>
          <w:sz w:val="20"/>
        </w:rPr>
      </w:pPr>
      <w:r w:rsidRPr="00D151AD">
        <w:rPr>
          <w:rFonts w:ascii="Arial" w:hAnsi="Arial" w:cs="Arial"/>
          <w:snapToGrid w:val="0"/>
          <w:sz w:val="20"/>
        </w:rPr>
        <w:t>I debiti sono iscritti secondo il criterio del costo ammortizzato</w:t>
      </w:r>
      <w:r w:rsidR="00EE4AF0" w:rsidRPr="00D151AD">
        <w:rPr>
          <w:rFonts w:ascii="Arial" w:hAnsi="Arial" w:cs="Arial"/>
          <w:snapToGrid w:val="0"/>
          <w:sz w:val="20"/>
        </w:rPr>
        <w:t>,</w:t>
      </w:r>
      <w:r w:rsidRPr="00D151AD">
        <w:rPr>
          <w:rFonts w:ascii="Arial" w:hAnsi="Arial" w:cs="Arial"/>
          <w:snapToGrid w:val="0"/>
          <w:sz w:val="20"/>
        </w:rPr>
        <w:t xml:space="preserve"> tenendo conto del fattore temporale. Il criterio del costo ammortizzato non è stato applicato in quanto i suoi effetti si sono considerati irrilevanti in quanto trattasi di debiti a breve termine ossia con scadenza inferiore ai 12 </w:t>
      </w:r>
      <w:r w:rsidR="00CC7FDA" w:rsidRPr="00D151AD">
        <w:rPr>
          <w:rFonts w:ascii="Arial" w:hAnsi="Arial" w:cs="Arial"/>
          <w:snapToGrid w:val="0"/>
          <w:sz w:val="20"/>
        </w:rPr>
        <w:t>mesi.</w:t>
      </w:r>
    </w:p>
    <w:p w14:paraId="6CEBA1CA" w14:textId="77777777" w:rsidR="00586176" w:rsidRPr="00D151AD" w:rsidRDefault="00586176" w:rsidP="001223E5">
      <w:pPr>
        <w:widowControl w:val="0"/>
        <w:tabs>
          <w:tab w:val="left" w:pos="1627"/>
        </w:tabs>
        <w:jc w:val="both"/>
        <w:rPr>
          <w:rFonts w:ascii="Arial" w:hAnsi="Arial" w:cs="Arial"/>
          <w:snapToGrid w:val="0"/>
          <w:sz w:val="20"/>
        </w:rPr>
      </w:pPr>
      <w:r w:rsidRPr="00D151AD">
        <w:rPr>
          <w:rFonts w:ascii="Arial" w:hAnsi="Arial" w:cs="Arial"/>
          <w:snapToGrid w:val="0"/>
          <w:sz w:val="20"/>
        </w:rPr>
        <w:t xml:space="preserve"> </w:t>
      </w:r>
      <w:r w:rsidR="002C1520" w:rsidRPr="00D151AD">
        <w:rPr>
          <w:rFonts w:ascii="Arial" w:hAnsi="Arial" w:cs="Arial"/>
          <w:snapToGrid w:val="0"/>
          <w:sz w:val="20"/>
        </w:rPr>
        <w:t xml:space="preserve">I </w:t>
      </w:r>
      <w:r w:rsidRPr="00D151AD">
        <w:rPr>
          <w:rFonts w:ascii="Arial" w:hAnsi="Arial" w:cs="Arial"/>
          <w:snapToGrid w:val="0"/>
          <w:sz w:val="20"/>
        </w:rPr>
        <w:t xml:space="preserve">debiti </w:t>
      </w:r>
      <w:r w:rsidR="002C1520" w:rsidRPr="00D151AD">
        <w:rPr>
          <w:rFonts w:ascii="Arial" w:hAnsi="Arial" w:cs="Arial"/>
          <w:snapToGrid w:val="0"/>
          <w:sz w:val="20"/>
        </w:rPr>
        <w:t xml:space="preserve">pertanto </w:t>
      </w:r>
      <w:r w:rsidRPr="00D151AD">
        <w:rPr>
          <w:rFonts w:ascii="Arial" w:hAnsi="Arial" w:cs="Arial"/>
          <w:snapToGrid w:val="0"/>
          <w:sz w:val="20"/>
        </w:rPr>
        <w:t>sono</w:t>
      </w:r>
      <w:r w:rsidR="00DD6555" w:rsidRPr="00D151AD">
        <w:rPr>
          <w:rFonts w:ascii="Arial" w:hAnsi="Arial" w:cs="Arial"/>
          <w:snapToGrid w:val="0"/>
          <w:sz w:val="20"/>
        </w:rPr>
        <w:t xml:space="preserve"> </w:t>
      </w:r>
      <w:r w:rsidR="002C1520" w:rsidRPr="00D151AD">
        <w:rPr>
          <w:rFonts w:ascii="Arial" w:hAnsi="Arial" w:cs="Arial"/>
          <w:snapToGrid w:val="0"/>
          <w:sz w:val="20"/>
        </w:rPr>
        <w:t>stati</w:t>
      </w:r>
      <w:r w:rsidR="00DD6555" w:rsidRPr="00D151AD">
        <w:rPr>
          <w:rFonts w:ascii="Arial" w:hAnsi="Arial" w:cs="Arial"/>
          <w:snapToGrid w:val="0"/>
          <w:sz w:val="20"/>
        </w:rPr>
        <w:t xml:space="preserve"> </w:t>
      </w:r>
      <w:r w:rsidRPr="00D151AD">
        <w:rPr>
          <w:rFonts w:ascii="Arial" w:hAnsi="Arial" w:cs="Arial"/>
          <w:snapToGrid w:val="0"/>
          <w:sz w:val="20"/>
        </w:rPr>
        <w:t xml:space="preserve">iscritti al </w:t>
      </w:r>
      <w:r w:rsidR="002C1520" w:rsidRPr="00D151AD">
        <w:rPr>
          <w:rFonts w:ascii="Arial" w:hAnsi="Arial" w:cs="Arial"/>
          <w:snapToGrid w:val="0"/>
          <w:sz w:val="20"/>
        </w:rPr>
        <w:t xml:space="preserve">loro </w:t>
      </w:r>
      <w:r w:rsidRPr="00D151AD">
        <w:rPr>
          <w:rFonts w:ascii="Arial" w:hAnsi="Arial" w:cs="Arial"/>
          <w:snapToGrid w:val="0"/>
          <w:sz w:val="20"/>
        </w:rPr>
        <w:t>valore nominale, ritenuto rappresentativo del loro presunto valore di estinzione. Sono iscritti per gli importi corrispondenti al loro valore nominale e, parimenti ai crediti, distinti in base alla natura del debitore in:</w:t>
      </w:r>
    </w:p>
    <w:p w14:paraId="26AAAFB4" w14:textId="77777777" w:rsidR="00586176" w:rsidRPr="00586176" w:rsidRDefault="00586176" w:rsidP="001223E5">
      <w:pPr>
        <w:widowControl w:val="0"/>
        <w:spacing w:before="120" w:after="120"/>
        <w:ind w:left="284"/>
        <w:jc w:val="both"/>
        <w:rPr>
          <w:rFonts w:ascii="Arial" w:hAnsi="Arial" w:cs="Arial"/>
          <w:snapToGrid w:val="0"/>
          <w:sz w:val="20"/>
        </w:rPr>
      </w:pPr>
      <w:r>
        <w:rPr>
          <w:rFonts w:ascii="Arial" w:hAnsi="Arial" w:cs="Arial"/>
          <w:snapToGrid w:val="0"/>
          <w:sz w:val="20"/>
        </w:rPr>
        <w:t xml:space="preserve">- </w:t>
      </w:r>
      <w:r w:rsidRPr="00586176">
        <w:rPr>
          <w:rFonts w:ascii="Arial" w:hAnsi="Arial" w:cs="Arial"/>
          <w:snapToGrid w:val="0"/>
          <w:sz w:val="20"/>
        </w:rPr>
        <w:t>verso banche</w:t>
      </w:r>
      <w:r w:rsidR="00A168D9">
        <w:rPr>
          <w:rFonts w:ascii="Arial" w:hAnsi="Arial" w:cs="Arial"/>
          <w:snapToGrid w:val="0"/>
          <w:sz w:val="20"/>
        </w:rPr>
        <w:t>;</w:t>
      </w:r>
    </w:p>
    <w:p w14:paraId="7D2366D3" w14:textId="77777777" w:rsidR="00586176" w:rsidRPr="00586176" w:rsidRDefault="006215A5" w:rsidP="001223E5">
      <w:pPr>
        <w:widowControl w:val="0"/>
        <w:spacing w:before="120" w:after="120"/>
        <w:ind w:left="284"/>
        <w:jc w:val="both"/>
        <w:rPr>
          <w:rFonts w:ascii="Arial" w:hAnsi="Arial" w:cs="Arial"/>
          <w:snapToGrid w:val="0"/>
          <w:sz w:val="20"/>
        </w:rPr>
      </w:pPr>
      <w:r>
        <w:rPr>
          <w:rFonts w:ascii="Arial" w:hAnsi="Arial" w:cs="Arial"/>
          <w:snapToGrid w:val="0"/>
          <w:sz w:val="20"/>
        </w:rPr>
        <w:t xml:space="preserve">- </w:t>
      </w:r>
      <w:r w:rsidR="00586176" w:rsidRPr="00586176">
        <w:rPr>
          <w:rFonts w:ascii="Arial" w:hAnsi="Arial" w:cs="Arial"/>
          <w:snapToGrid w:val="0"/>
          <w:sz w:val="20"/>
        </w:rPr>
        <w:t>verso fornitori</w:t>
      </w:r>
      <w:r w:rsidR="00A168D9">
        <w:rPr>
          <w:rFonts w:ascii="Arial" w:hAnsi="Arial" w:cs="Arial"/>
          <w:snapToGrid w:val="0"/>
          <w:sz w:val="20"/>
        </w:rPr>
        <w:t>;</w:t>
      </w:r>
    </w:p>
    <w:p w14:paraId="522CB612" w14:textId="132DCC73" w:rsidR="00586176" w:rsidRPr="00586176" w:rsidRDefault="006215A5" w:rsidP="001223E5">
      <w:pPr>
        <w:widowControl w:val="0"/>
        <w:spacing w:before="120" w:after="120"/>
        <w:ind w:left="284"/>
        <w:jc w:val="both"/>
        <w:rPr>
          <w:rFonts w:ascii="Arial" w:hAnsi="Arial" w:cs="Arial"/>
          <w:snapToGrid w:val="0"/>
          <w:sz w:val="20"/>
        </w:rPr>
      </w:pPr>
      <w:r>
        <w:rPr>
          <w:rFonts w:ascii="Arial" w:hAnsi="Arial" w:cs="Arial"/>
          <w:snapToGrid w:val="0"/>
          <w:sz w:val="20"/>
        </w:rPr>
        <w:t xml:space="preserve">- </w:t>
      </w:r>
      <w:r w:rsidR="009139C8" w:rsidRPr="009139C8">
        <w:rPr>
          <w:rFonts w:ascii="Arial" w:hAnsi="Arial" w:cs="Arial"/>
          <w:snapToGrid w:val="0"/>
          <w:sz w:val="20"/>
        </w:rPr>
        <w:t>verso imprese controllanti, collegate ed imprese sottoposte al controllo delle controllanti;</w:t>
      </w:r>
    </w:p>
    <w:p w14:paraId="1851AF7A" w14:textId="77777777" w:rsidR="00586176" w:rsidRPr="00586176" w:rsidRDefault="006215A5" w:rsidP="001223E5">
      <w:pPr>
        <w:widowControl w:val="0"/>
        <w:spacing w:before="120" w:after="120"/>
        <w:ind w:left="284"/>
        <w:jc w:val="both"/>
        <w:rPr>
          <w:rFonts w:ascii="Arial" w:hAnsi="Arial" w:cs="Arial"/>
          <w:snapToGrid w:val="0"/>
          <w:sz w:val="20"/>
        </w:rPr>
      </w:pPr>
      <w:r>
        <w:rPr>
          <w:rFonts w:ascii="Arial" w:hAnsi="Arial" w:cs="Arial"/>
          <w:snapToGrid w:val="0"/>
          <w:sz w:val="20"/>
        </w:rPr>
        <w:t xml:space="preserve">- </w:t>
      </w:r>
      <w:r w:rsidR="00586176" w:rsidRPr="00586176">
        <w:rPr>
          <w:rFonts w:ascii="Arial" w:hAnsi="Arial" w:cs="Arial"/>
          <w:snapToGrid w:val="0"/>
          <w:sz w:val="20"/>
        </w:rPr>
        <w:t>tributari</w:t>
      </w:r>
      <w:r w:rsidR="00A168D9">
        <w:rPr>
          <w:rFonts w:ascii="Arial" w:hAnsi="Arial" w:cs="Arial"/>
          <w:snapToGrid w:val="0"/>
          <w:sz w:val="20"/>
        </w:rPr>
        <w:t>;</w:t>
      </w:r>
    </w:p>
    <w:p w14:paraId="10C5941F" w14:textId="77777777" w:rsidR="00586176" w:rsidRPr="00586176" w:rsidRDefault="006215A5" w:rsidP="001223E5">
      <w:pPr>
        <w:widowControl w:val="0"/>
        <w:spacing w:before="120" w:after="120"/>
        <w:ind w:left="284"/>
        <w:jc w:val="both"/>
        <w:rPr>
          <w:rFonts w:ascii="Arial" w:hAnsi="Arial" w:cs="Arial"/>
          <w:snapToGrid w:val="0"/>
          <w:sz w:val="20"/>
        </w:rPr>
      </w:pPr>
      <w:r>
        <w:rPr>
          <w:rFonts w:ascii="Arial" w:hAnsi="Arial" w:cs="Arial"/>
          <w:snapToGrid w:val="0"/>
          <w:sz w:val="20"/>
        </w:rPr>
        <w:t xml:space="preserve">- </w:t>
      </w:r>
      <w:r w:rsidR="00586176" w:rsidRPr="00586176">
        <w:rPr>
          <w:rFonts w:ascii="Arial" w:hAnsi="Arial" w:cs="Arial"/>
          <w:snapToGrid w:val="0"/>
          <w:sz w:val="20"/>
        </w:rPr>
        <w:t>verso istituti di previdenza ed assistenza</w:t>
      </w:r>
      <w:r w:rsidR="00A168D9">
        <w:rPr>
          <w:rFonts w:ascii="Arial" w:hAnsi="Arial" w:cs="Arial"/>
          <w:snapToGrid w:val="0"/>
          <w:sz w:val="20"/>
        </w:rPr>
        <w:t>;</w:t>
      </w:r>
    </w:p>
    <w:p w14:paraId="06D0109A" w14:textId="77777777" w:rsidR="00586176" w:rsidRPr="00586176" w:rsidRDefault="006215A5" w:rsidP="001223E5">
      <w:pPr>
        <w:widowControl w:val="0"/>
        <w:spacing w:before="120" w:after="120"/>
        <w:ind w:left="284"/>
        <w:jc w:val="both"/>
        <w:rPr>
          <w:rFonts w:ascii="Arial" w:hAnsi="Arial" w:cs="Arial"/>
          <w:snapToGrid w:val="0"/>
          <w:sz w:val="20"/>
        </w:rPr>
      </w:pPr>
      <w:r>
        <w:rPr>
          <w:rFonts w:ascii="Arial" w:hAnsi="Arial" w:cs="Arial"/>
          <w:snapToGrid w:val="0"/>
          <w:sz w:val="20"/>
        </w:rPr>
        <w:t xml:space="preserve">- </w:t>
      </w:r>
      <w:r w:rsidR="00586176" w:rsidRPr="00586176">
        <w:rPr>
          <w:rFonts w:ascii="Arial" w:hAnsi="Arial" w:cs="Arial"/>
          <w:snapToGrid w:val="0"/>
          <w:sz w:val="20"/>
        </w:rPr>
        <w:t>verso altri</w:t>
      </w:r>
      <w:r w:rsidR="00A168D9">
        <w:rPr>
          <w:rFonts w:ascii="Arial" w:hAnsi="Arial" w:cs="Arial"/>
          <w:snapToGrid w:val="0"/>
          <w:sz w:val="20"/>
        </w:rPr>
        <w:t>.</w:t>
      </w:r>
    </w:p>
    <w:p w14:paraId="7719A548" w14:textId="77777777" w:rsidR="00586176" w:rsidRPr="00586176" w:rsidRDefault="00A168D9" w:rsidP="001223E5">
      <w:pPr>
        <w:widowControl w:val="0"/>
        <w:spacing w:before="120" w:after="120"/>
        <w:jc w:val="both"/>
        <w:rPr>
          <w:rFonts w:ascii="Arial" w:hAnsi="Arial" w:cs="Arial"/>
          <w:snapToGrid w:val="0"/>
          <w:sz w:val="20"/>
        </w:rPr>
      </w:pPr>
      <w:r>
        <w:rPr>
          <w:rFonts w:ascii="Arial" w:hAnsi="Arial" w:cs="Arial"/>
          <w:snapToGrid w:val="0"/>
          <w:sz w:val="20"/>
        </w:rPr>
        <w:t xml:space="preserve">Inoltre, </w:t>
      </w:r>
      <w:r w:rsidR="00586176" w:rsidRPr="00586176">
        <w:rPr>
          <w:rFonts w:ascii="Arial" w:hAnsi="Arial" w:cs="Arial"/>
          <w:snapToGrid w:val="0"/>
          <w:sz w:val="20"/>
        </w:rPr>
        <w:t>in base alla scadenza in:</w:t>
      </w:r>
    </w:p>
    <w:p w14:paraId="2DE6A3FB" w14:textId="77777777" w:rsidR="00586176" w:rsidRPr="00586176" w:rsidRDefault="006215A5" w:rsidP="001223E5">
      <w:pPr>
        <w:widowControl w:val="0"/>
        <w:spacing w:before="120" w:after="120"/>
        <w:ind w:left="284"/>
        <w:jc w:val="both"/>
        <w:rPr>
          <w:rFonts w:ascii="Arial" w:hAnsi="Arial" w:cs="Arial"/>
          <w:snapToGrid w:val="0"/>
          <w:sz w:val="20"/>
        </w:rPr>
      </w:pPr>
      <w:r>
        <w:rPr>
          <w:rFonts w:ascii="Arial" w:hAnsi="Arial" w:cs="Arial"/>
          <w:snapToGrid w:val="0"/>
          <w:sz w:val="20"/>
        </w:rPr>
        <w:t xml:space="preserve">- </w:t>
      </w:r>
      <w:r w:rsidR="00586176" w:rsidRPr="00586176">
        <w:rPr>
          <w:rFonts w:ascii="Arial" w:hAnsi="Arial" w:cs="Arial"/>
          <w:snapToGrid w:val="0"/>
          <w:sz w:val="20"/>
        </w:rPr>
        <w:t>estinguibili entro l’esercizio</w:t>
      </w:r>
    </w:p>
    <w:p w14:paraId="042DB286" w14:textId="77777777" w:rsidR="00586176" w:rsidRPr="00586176" w:rsidRDefault="006215A5" w:rsidP="001223E5">
      <w:pPr>
        <w:widowControl w:val="0"/>
        <w:spacing w:before="120" w:after="120"/>
        <w:ind w:left="284"/>
        <w:jc w:val="both"/>
        <w:rPr>
          <w:rFonts w:ascii="Arial" w:hAnsi="Arial" w:cs="Arial"/>
          <w:snapToGrid w:val="0"/>
          <w:sz w:val="20"/>
        </w:rPr>
      </w:pPr>
      <w:r>
        <w:rPr>
          <w:rFonts w:ascii="Arial" w:hAnsi="Arial" w:cs="Arial"/>
          <w:snapToGrid w:val="0"/>
          <w:sz w:val="20"/>
        </w:rPr>
        <w:t xml:space="preserve">- </w:t>
      </w:r>
      <w:r w:rsidR="00586176" w:rsidRPr="00586176">
        <w:rPr>
          <w:rFonts w:ascii="Arial" w:hAnsi="Arial" w:cs="Arial"/>
          <w:snapToGrid w:val="0"/>
          <w:sz w:val="20"/>
        </w:rPr>
        <w:t>estinguibili oltre l’esercizio.</w:t>
      </w:r>
    </w:p>
    <w:p w14:paraId="68266617" w14:textId="77777777" w:rsidR="00586176" w:rsidRPr="00586176" w:rsidRDefault="00586176" w:rsidP="001223E5">
      <w:pPr>
        <w:widowControl w:val="0"/>
        <w:spacing w:before="120" w:after="120"/>
        <w:rPr>
          <w:rFonts w:ascii="Arial" w:hAnsi="Arial" w:cs="Arial"/>
          <w:b/>
          <w:snapToGrid w:val="0"/>
          <w:sz w:val="20"/>
        </w:rPr>
      </w:pPr>
      <w:r w:rsidRPr="00586176">
        <w:rPr>
          <w:rFonts w:ascii="Arial" w:hAnsi="Arial" w:cs="Arial"/>
          <w:b/>
          <w:snapToGrid w:val="0"/>
          <w:sz w:val="20"/>
        </w:rPr>
        <w:t>Patrimonio netto</w:t>
      </w:r>
    </w:p>
    <w:p w14:paraId="24276F07" w14:textId="77777777" w:rsidR="00D37C78" w:rsidRPr="00586176" w:rsidRDefault="00586176" w:rsidP="001223E5">
      <w:pPr>
        <w:widowControl w:val="0"/>
        <w:spacing w:before="120" w:after="120"/>
        <w:jc w:val="both"/>
        <w:rPr>
          <w:rFonts w:ascii="Arial" w:hAnsi="Arial" w:cs="Arial"/>
          <w:sz w:val="20"/>
        </w:rPr>
      </w:pPr>
      <w:r w:rsidRPr="00586176">
        <w:rPr>
          <w:rFonts w:ascii="Arial" w:hAnsi="Arial" w:cs="Arial"/>
          <w:sz w:val="20"/>
        </w:rPr>
        <w:t>Le voci di Patrimonio netto sono state analiticamente indicate con specificazione della loro origine, disponibilità, distribuibilità, nonché eventuale utilizzazione nei precedenti esercizi. E ciò in linea con quanto già in parte previsto dal Principio contabile n. 28, che la riforma ha provveduto a codificare legislativamente.</w:t>
      </w:r>
    </w:p>
    <w:p w14:paraId="17DB1DE3" w14:textId="77777777" w:rsidR="00EE4AF0" w:rsidRDefault="00EE4AF0" w:rsidP="001223E5">
      <w:pPr>
        <w:widowControl w:val="0"/>
        <w:spacing w:before="120" w:after="120"/>
        <w:rPr>
          <w:rFonts w:ascii="Arial" w:hAnsi="Arial" w:cs="Arial"/>
          <w:b/>
          <w:snapToGrid w:val="0"/>
          <w:sz w:val="20"/>
        </w:rPr>
      </w:pPr>
      <w:r>
        <w:rPr>
          <w:rFonts w:ascii="Arial" w:hAnsi="Arial" w:cs="Arial"/>
          <w:b/>
          <w:snapToGrid w:val="0"/>
          <w:sz w:val="20"/>
        </w:rPr>
        <w:t>Ratei e risconti</w:t>
      </w:r>
    </w:p>
    <w:p w14:paraId="4C1645BC" w14:textId="77777777" w:rsidR="00586176" w:rsidRPr="00586176" w:rsidRDefault="00586176" w:rsidP="001223E5">
      <w:pPr>
        <w:widowControl w:val="0"/>
        <w:spacing w:before="120" w:after="120"/>
        <w:jc w:val="both"/>
        <w:rPr>
          <w:rFonts w:ascii="Arial" w:hAnsi="Arial" w:cs="Arial"/>
          <w:sz w:val="20"/>
        </w:rPr>
      </w:pPr>
      <w:r w:rsidRPr="00586176">
        <w:rPr>
          <w:rFonts w:ascii="Arial" w:hAnsi="Arial" w:cs="Arial"/>
          <w:sz w:val="20"/>
        </w:rPr>
        <w:t>I ratei e risconti sono stati computati ed iscritti in bilancio secondo il principio della competenza temporale e misurano proventi ed oneri la cui competenza è anticipata o posticipata rispetto alla manifestazione numeraria e/o documentale.</w:t>
      </w:r>
    </w:p>
    <w:p w14:paraId="0D7E26F3" w14:textId="77777777" w:rsidR="00586176" w:rsidRPr="00586176" w:rsidRDefault="00586176" w:rsidP="001223E5">
      <w:pPr>
        <w:widowControl w:val="0"/>
        <w:spacing w:before="120" w:after="120"/>
        <w:jc w:val="both"/>
        <w:rPr>
          <w:rFonts w:ascii="Arial" w:hAnsi="Arial" w:cs="Arial"/>
          <w:sz w:val="20"/>
        </w:rPr>
      </w:pPr>
      <w:r w:rsidRPr="00586176">
        <w:rPr>
          <w:rFonts w:ascii="Arial" w:hAnsi="Arial" w:cs="Arial"/>
          <w:sz w:val="20"/>
        </w:rPr>
        <w:t>In ottemperanza al principio dell’importanza relativa (rilevanza o materialità), data la consistenza degli importi, ratei e risconti (attivi e passivi) sono stati distinti nella loro composizione e fornite informazioni nel dettaglio in nota integrativa di cui in seguito.</w:t>
      </w:r>
    </w:p>
    <w:p w14:paraId="3BA8F019" w14:textId="77777777" w:rsidR="00EE4AF0" w:rsidRDefault="00EE4AF0" w:rsidP="001223E5">
      <w:pPr>
        <w:widowControl w:val="0"/>
        <w:spacing w:before="120" w:after="120"/>
        <w:rPr>
          <w:rFonts w:ascii="Arial" w:hAnsi="Arial" w:cs="Arial"/>
          <w:b/>
          <w:snapToGrid w:val="0"/>
          <w:sz w:val="20"/>
        </w:rPr>
      </w:pPr>
      <w:r>
        <w:rPr>
          <w:rFonts w:ascii="Arial" w:hAnsi="Arial" w:cs="Arial"/>
          <w:b/>
          <w:snapToGrid w:val="0"/>
          <w:sz w:val="20"/>
        </w:rPr>
        <w:t>Imposte sul reddito</w:t>
      </w:r>
    </w:p>
    <w:p w14:paraId="5B0FD548" w14:textId="77777777" w:rsidR="008F7AB6" w:rsidRPr="008F7AB6" w:rsidRDefault="008F7AB6" w:rsidP="001223E5">
      <w:pPr>
        <w:widowControl w:val="0"/>
        <w:tabs>
          <w:tab w:val="left" w:pos="204"/>
          <w:tab w:val="left" w:pos="1620"/>
          <w:tab w:val="left" w:pos="2835"/>
          <w:tab w:val="left" w:pos="8107"/>
        </w:tabs>
        <w:spacing w:before="120" w:after="120"/>
        <w:jc w:val="both"/>
        <w:rPr>
          <w:rFonts w:ascii="Arial" w:hAnsi="Arial" w:cs="Arial"/>
          <w:sz w:val="20"/>
        </w:rPr>
      </w:pPr>
      <w:r w:rsidRPr="008F7AB6">
        <w:rPr>
          <w:rFonts w:ascii="Arial" w:hAnsi="Arial" w:cs="Arial"/>
          <w:sz w:val="20"/>
        </w:rPr>
        <w:t xml:space="preserve">Le imposte sul reddito e i debiti tributari sono stati esposti in bilancio tenendo conto del principio generale della rappresentazione veritiera e corretta previsto dall’art. 2423 c.c., nonché delle </w:t>
      </w:r>
      <w:r w:rsidRPr="008F7AB6">
        <w:rPr>
          <w:rFonts w:ascii="Arial" w:hAnsi="Arial" w:cs="Arial"/>
          <w:sz w:val="20"/>
        </w:rPr>
        <w:lastRenderedPageBreak/>
        <w:t>disposizioni statuite dal principio contabile n. 25, che ha definito il trattamento contabile e fiscale non solo delle imposte sul reddito, ma anche di quelle assimilabili (imposte differite ed anticipate).</w:t>
      </w:r>
    </w:p>
    <w:p w14:paraId="09762212" w14:textId="77777777" w:rsidR="008F7AB6" w:rsidRPr="008F7AB6" w:rsidRDefault="008F7AB6" w:rsidP="001223E5">
      <w:pPr>
        <w:widowControl w:val="0"/>
        <w:tabs>
          <w:tab w:val="left" w:pos="204"/>
          <w:tab w:val="left" w:pos="1620"/>
          <w:tab w:val="left" w:pos="2835"/>
          <w:tab w:val="left" w:pos="8107"/>
        </w:tabs>
        <w:spacing w:before="120" w:after="120"/>
        <w:jc w:val="both"/>
        <w:rPr>
          <w:rFonts w:ascii="Arial" w:hAnsi="Arial" w:cs="Arial"/>
          <w:sz w:val="20"/>
        </w:rPr>
      </w:pPr>
      <w:r w:rsidRPr="008F7AB6">
        <w:rPr>
          <w:rFonts w:ascii="Arial" w:hAnsi="Arial" w:cs="Arial"/>
          <w:sz w:val="20"/>
        </w:rPr>
        <w:t>Il rispetto del principio di competenza comporta, infatti, che il trattamento delle imposte sul reddito sia lo stesso dei costi sostenuti dall’impresa nella produzione del reddito di esercizio; nel bilancio, pertanto, vanno individuate sia le imposte esigibili nell’esercizio in corso sebbene di competenza di esercizi futuri sia quelle esigibili in esercizi futuri ma di competenza dell’esercizio in corso.</w:t>
      </w:r>
    </w:p>
    <w:p w14:paraId="1405CA22" w14:textId="77777777" w:rsidR="008F7AB6" w:rsidRPr="008F7AB6" w:rsidRDefault="008F7AB6" w:rsidP="001223E5">
      <w:pPr>
        <w:widowControl w:val="0"/>
        <w:tabs>
          <w:tab w:val="left" w:pos="204"/>
          <w:tab w:val="left" w:pos="1620"/>
          <w:tab w:val="left" w:pos="2835"/>
          <w:tab w:val="left" w:pos="8107"/>
        </w:tabs>
        <w:spacing w:before="120" w:after="120"/>
        <w:jc w:val="both"/>
        <w:rPr>
          <w:rFonts w:ascii="Arial" w:hAnsi="Arial" w:cs="Arial"/>
          <w:sz w:val="20"/>
        </w:rPr>
      </w:pPr>
      <w:r w:rsidRPr="008F7AB6">
        <w:rPr>
          <w:rFonts w:ascii="Arial" w:hAnsi="Arial" w:cs="Arial"/>
          <w:sz w:val="20"/>
        </w:rPr>
        <w:t>I valori fiscalmente rilevanti ai fini Irap sono stati calcolati desumendoli esclusivamente dal bilancio, senza tener conto delle variazioni in aumento e diminuzione valide ai fini Ires.</w:t>
      </w:r>
    </w:p>
    <w:p w14:paraId="3D2839AB" w14:textId="77777777" w:rsidR="008F7AB6" w:rsidRPr="008F7AB6" w:rsidRDefault="008F7AB6" w:rsidP="001223E5">
      <w:pPr>
        <w:widowControl w:val="0"/>
        <w:tabs>
          <w:tab w:val="left" w:pos="204"/>
          <w:tab w:val="left" w:pos="1620"/>
          <w:tab w:val="left" w:pos="2835"/>
          <w:tab w:val="left" w:pos="8107"/>
        </w:tabs>
        <w:spacing w:before="120" w:after="120"/>
        <w:jc w:val="both"/>
        <w:rPr>
          <w:rFonts w:ascii="Arial" w:hAnsi="Arial" w:cs="Arial"/>
          <w:sz w:val="20"/>
        </w:rPr>
      </w:pPr>
      <w:r w:rsidRPr="008F7AB6">
        <w:rPr>
          <w:rFonts w:ascii="Arial" w:hAnsi="Arial" w:cs="Arial"/>
          <w:sz w:val="20"/>
        </w:rPr>
        <w:t xml:space="preserve">L’Ires, se dovuta, viene compensata con perdite fiscali pregresse. </w:t>
      </w:r>
    </w:p>
    <w:p w14:paraId="4B391B41" w14:textId="77777777" w:rsidR="008F7AB6" w:rsidRPr="008F7AB6" w:rsidRDefault="008F7AB6" w:rsidP="001223E5">
      <w:pPr>
        <w:widowControl w:val="0"/>
        <w:tabs>
          <w:tab w:val="left" w:pos="204"/>
          <w:tab w:val="left" w:pos="1620"/>
          <w:tab w:val="left" w:pos="2835"/>
          <w:tab w:val="left" w:pos="8107"/>
        </w:tabs>
        <w:spacing w:before="120" w:after="120"/>
        <w:jc w:val="both"/>
        <w:rPr>
          <w:rFonts w:ascii="Arial" w:hAnsi="Arial" w:cs="Arial"/>
          <w:sz w:val="20"/>
        </w:rPr>
      </w:pPr>
      <w:r w:rsidRPr="008F7AB6">
        <w:rPr>
          <w:rFonts w:ascii="Arial" w:hAnsi="Arial" w:cs="Arial"/>
          <w:sz w:val="20"/>
        </w:rPr>
        <w:t>Ai fini Irap le imposte anticipate sono state calcolate per gli accantonamenti rischi ed oneri, che saranno desunti solo nell’esercizio di utilizzo dei relativi fondi accantonati, nonché per le altre “variazioni temporanee” in aumento prima ed in diminuzione poi che si manifestano tra un esercizio ed un altro.</w:t>
      </w:r>
    </w:p>
    <w:p w14:paraId="68D7670D" w14:textId="77777777" w:rsidR="008F7AB6" w:rsidRPr="008F7AB6" w:rsidRDefault="008F7AB6" w:rsidP="001223E5">
      <w:pPr>
        <w:widowControl w:val="0"/>
        <w:tabs>
          <w:tab w:val="left" w:pos="204"/>
          <w:tab w:val="left" w:pos="1620"/>
          <w:tab w:val="left" w:pos="2835"/>
          <w:tab w:val="left" w:pos="8107"/>
        </w:tabs>
        <w:spacing w:before="120" w:after="120"/>
        <w:jc w:val="both"/>
        <w:rPr>
          <w:rFonts w:ascii="Arial" w:hAnsi="Arial" w:cs="Arial"/>
          <w:sz w:val="20"/>
        </w:rPr>
      </w:pPr>
      <w:r w:rsidRPr="008F7AB6">
        <w:rPr>
          <w:rFonts w:ascii="Arial" w:hAnsi="Arial" w:cs="Arial"/>
          <w:sz w:val="20"/>
        </w:rPr>
        <w:t xml:space="preserve">Tali imposte sono state conteggiate in base alle aliquote man mano vigenti e secondo le disposizioni </w:t>
      </w:r>
      <w:r w:rsidR="00CC7FDA" w:rsidRPr="008F7AB6">
        <w:rPr>
          <w:rFonts w:ascii="Arial" w:hAnsi="Arial" w:cs="Arial"/>
          <w:sz w:val="20"/>
        </w:rPr>
        <w:t>dei principi</w:t>
      </w:r>
      <w:r w:rsidRPr="008F7AB6">
        <w:rPr>
          <w:rFonts w:ascii="Arial" w:hAnsi="Arial" w:cs="Arial"/>
          <w:sz w:val="20"/>
        </w:rPr>
        <w:t xml:space="preserve"> contabili nazionali (n. 25) e internazionali (doc. Ias 12).</w:t>
      </w:r>
    </w:p>
    <w:p w14:paraId="2A9940C8" w14:textId="77777777" w:rsidR="008F7AB6" w:rsidRPr="008F7AB6" w:rsidRDefault="008F7AB6" w:rsidP="001223E5">
      <w:pPr>
        <w:widowControl w:val="0"/>
        <w:tabs>
          <w:tab w:val="left" w:pos="204"/>
          <w:tab w:val="left" w:pos="1620"/>
          <w:tab w:val="left" w:pos="2835"/>
          <w:tab w:val="left" w:pos="8107"/>
        </w:tabs>
        <w:spacing w:before="120" w:after="120"/>
        <w:jc w:val="both"/>
        <w:rPr>
          <w:rFonts w:ascii="Arial" w:hAnsi="Arial" w:cs="Arial"/>
          <w:sz w:val="20"/>
        </w:rPr>
      </w:pPr>
      <w:r w:rsidRPr="008F7AB6">
        <w:rPr>
          <w:rFonts w:ascii="Arial" w:hAnsi="Arial" w:cs="Arial"/>
          <w:sz w:val="20"/>
        </w:rPr>
        <w:t xml:space="preserve">Le imposte anticipate sono state indicate tra i crediti dell’attivo circolante di cui al punto C.II.5 e corrispondentemente come sottovoce della voce 22 </w:t>
      </w:r>
      <w:r w:rsidR="00CC7FDA" w:rsidRPr="008F7AB6">
        <w:rPr>
          <w:rFonts w:ascii="Arial" w:hAnsi="Arial" w:cs="Arial"/>
          <w:sz w:val="20"/>
        </w:rPr>
        <w:t>-” Imposte</w:t>
      </w:r>
      <w:r w:rsidRPr="008F7AB6">
        <w:rPr>
          <w:rFonts w:ascii="Arial" w:hAnsi="Arial" w:cs="Arial"/>
          <w:sz w:val="20"/>
        </w:rPr>
        <w:t xml:space="preserve"> sul reddito” del Conto economico.</w:t>
      </w:r>
    </w:p>
    <w:p w14:paraId="5456F114" w14:textId="77777777" w:rsidR="008F7AB6" w:rsidRPr="008F7AB6" w:rsidRDefault="008F7AB6" w:rsidP="001223E5">
      <w:pPr>
        <w:widowControl w:val="0"/>
        <w:tabs>
          <w:tab w:val="left" w:pos="204"/>
          <w:tab w:val="left" w:pos="1620"/>
          <w:tab w:val="left" w:pos="2835"/>
          <w:tab w:val="left" w:pos="8107"/>
        </w:tabs>
        <w:spacing w:before="120" w:after="120"/>
        <w:jc w:val="both"/>
        <w:rPr>
          <w:rFonts w:ascii="Arial" w:hAnsi="Arial" w:cs="Arial"/>
          <w:sz w:val="20"/>
        </w:rPr>
      </w:pPr>
      <w:r w:rsidRPr="008F7AB6">
        <w:rPr>
          <w:rFonts w:ascii="Arial" w:hAnsi="Arial" w:cs="Arial"/>
          <w:sz w:val="20"/>
        </w:rPr>
        <w:t>La rilevazione delle imposte anticipate e differite è stata effettuata sul presupposto che, sulla base degli elementi previsionali relativi ai prossimi esercizi, sussiste la ragionevole certezza dell’effettivo riversamento delle stesse.</w:t>
      </w:r>
    </w:p>
    <w:p w14:paraId="266B5D7D" w14:textId="77777777" w:rsidR="008F7AB6" w:rsidRPr="008F7AB6" w:rsidRDefault="008F7AB6" w:rsidP="001223E5">
      <w:pPr>
        <w:widowControl w:val="0"/>
        <w:tabs>
          <w:tab w:val="left" w:pos="204"/>
          <w:tab w:val="left" w:pos="1620"/>
          <w:tab w:val="left" w:pos="2835"/>
          <w:tab w:val="left" w:pos="8107"/>
        </w:tabs>
        <w:spacing w:before="120" w:after="120"/>
        <w:jc w:val="both"/>
        <w:rPr>
          <w:rFonts w:ascii="Arial" w:hAnsi="Arial" w:cs="Arial"/>
          <w:sz w:val="20"/>
        </w:rPr>
      </w:pPr>
      <w:r w:rsidRPr="008F7AB6">
        <w:rPr>
          <w:rFonts w:ascii="Arial" w:hAnsi="Arial" w:cs="Arial"/>
          <w:sz w:val="20"/>
        </w:rPr>
        <w:t>Del calcolo delle imposte se ne darà dettaglio nel seguito della presente nota.</w:t>
      </w:r>
    </w:p>
    <w:p w14:paraId="7FEE5A59" w14:textId="77777777" w:rsidR="00EE4AF0" w:rsidRDefault="00EE4AF0" w:rsidP="001223E5">
      <w:pPr>
        <w:widowControl w:val="0"/>
        <w:tabs>
          <w:tab w:val="left" w:pos="204"/>
          <w:tab w:val="left" w:pos="1309"/>
          <w:tab w:val="left" w:pos="2835"/>
          <w:tab w:val="left" w:pos="8107"/>
        </w:tabs>
        <w:spacing w:before="120" w:after="120"/>
        <w:rPr>
          <w:rFonts w:ascii="Arial" w:hAnsi="Arial" w:cs="Arial"/>
          <w:b/>
          <w:snapToGrid w:val="0"/>
          <w:sz w:val="20"/>
        </w:rPr>
      </w:pPr>
      <w:r>
        <w:rPr>
          <w:rFonts w:ascii="Arial" w:hAnsi="Arial" w:cs="Arial"/>
          <w:b/>
          <w:snapToGrid w:val="0"/>
          <w:sz w:val="20"/>
        </w:rPr>
        <w:t>Ricavi</w:t>
      </w:r>
    </w:p>
    <w:p w14:paraId="760D15A5" w14:textId="77777777" w:rsidR="008F7AB6" w:rsidRPr="008F7AB6" w:rsidRDefault="008F7AB6" w:rsidP="001223E5">
      <w:pPr>
        <w:widowControl w:val="0"/>
        <w:tabs>
          <w:tab w:val="left" w:pos="1620"/>
        </w:tabs>
        <w:spacing w:before="120" w:after="120"/>
        <w:jc w:val="both"/>
        <w:rPr>
          <w:rFonts w:ascii="Arial" w:hAnsi="Arial" w:cs="Arial"/>
          <w:snapToGrid w:val="0"/>
          <w:sz w:val="20"/>
        </w:rPr>
      </w:pPr>
      <w:r w:rsidRPr="008F7AB6">
        <w:rPr>
          <w:rFonts w:ascii="Arial" w:hAnsi="Arial" w:cs="Arial"/>
          <w:snapToGrid w:val="0"/>
          <w:sz w:val="20"/>
        </w:rPr>
        <w:t>Sono stati determinati ed imputati all’esercizio in chiusura, in ottemperanza al principio di competenza economica e al netto di eventuali resi, sconti ed abbuoni.</w:t>
      </w:r>
    </w:p>
    <w:p w14:paraId="6F044AF5" w14:textId="77777777" w:rsidR="008F7AB6" w:rsidRPr="008F7AB6" w:rsidRDefault="00CC7FDA" w:rsidP="001223E5">
      <w:pPr>
        <w:widowControl w:val="0"/>
        <w:tabs>
          <w:tab w:val="left" w:pos="1620"/>
        </w:tabs>
        <w:spacing w:before="120" w:after="120"/>
        <w:jc w:val="both"/>
        <w:rPr>
          <w:rFonts w:ascii="Arial" w:hAnsi="Arial" w:cs="Arial"/>
          <w:snapToGrid w:val="0"/>
          <w:sz w:val="20"/>
        </w:rPr>
      </w:pPr>
      <w:r w:rsidRPr="008F7AB6">
        <w:rPr>
          <w:rFonts w:ascii="Arial" w:hAnsi="Arial" w:cs="Arial"/>
          <w:snapToGrid w:val="0"/>
          <w:sz w:val="20"/>
        </w:rPr>
        <w:t>In particolare,</w:t>
      </w:r>
      <w:r w:rsidR="008F7AB6" w:rsidRPr="008F7AB6">
        <w:rPr>
          <w:rFonts w:ascii="Arial" w:hAnsi="Arial" w:cs="Arial"/>
          <w:snapToGrid w:val="0"/>
          <w:sz w:val="20"/>
        </w:rPr>
        <w:t xml:space="preserve"> ed in conformità alla classificazione operata nel documento n. 12 dei principi contabili nazionali, alla voce A.5 del conto economico vengono rilevati i ricavi di natura residuale riguardanti la gestione accessoria di cui ai punti:</w:t>
      </w:r>
    </w:p>
    <w:p w14:paraId="12BC8820" w14:textId="77777777" w:rsidR="008F7AB6" w:rsidRPr="008F7AB6" w:rsidRDefault="008F7AB6" w:rsidP="001223E5">
      <w:pPr>
        <w:widowControl w:val="0"/>
        <w:spacing w:before="120" w:after="120"/>
        <w:ind w:left="426"/>
        <w:jc w:val="both"/>
        <w:rPr>
          <w:rFonts w:ascii="Arial" w:hAnsi="Arial" w:cs="Arial"/>
          <w:snapToGrid w:val="0"/>
          <w:sz w:val="20"/>
        </w:rPr>
      </w:pPr>
      <w:r w:rsidRPr="008F7AB6">
        <w:rPr>
          <w:rFonts w:ascii="Arial" w:hAnsi="Arial" w:cs="Arial"/>
          <w:snapToGrid w:val="0"/>
          <w:sz w:val="20"/>
        </w:rPr>
        <w:t xml:space="preserve">a) </w:t>
      </w:r>
      <w:r w:rsidR="006215A5">
        <w:rPr>
          <w:rFonts w:ascii="Arial" w:hAnsi="Arial" w:cs="Arial"/>
          <w:snapToGrid w:val="0"/>
          <w:sz w:val="20"/>
        </w:rPr>
        <w:t xml:space="preserve"> </w:t>
      </w:r>
      <w:r w:rsidRPr="008F7AB6">
        <w:rPr>
          <w:rFonts w:ascii="Arial" w:hAnsi="Arial" w:cs="Arial"/>
          <w:snapToGrid w:val="0"/>
          <w:sz w:val="20"/>
        </w:rPr>
        <w:t>proventi vari della gestione accessoria;</w:t>
      </w:r>
    </w:p>
    <w:p w14:paraId="65BEF57C" w14:textId="77777777" w:rsidR="008F7AB6" w:rsidRPr="008F7AB6" w:rsidRDefault="008F7AB6" w:rsidP="001223E5">
      <w:pPr>
        <w:widowControl w:val="0"/>
        <w:spacing w:before="120" w:after="120"/>
        <w:ind w:left="426"/>
        <w:jc w:val="both"/>
        <w:rPr>
          <w:rFonts w:ascii="Arial" w:hAnsi="Arial" w:cs="Arial"/>
          <w:snapToGrid w:val="0"/>
          <w:sz w:val="20"/>
        </w:rPr>
      </w:pPr>
      <w:r w:rsidRPr="008F7AB6">
        <w:rPr>
          <w:rFonts w:ascii="Arial" w:hAnsi="Arial" w:cs="Arial"/>
          <w:snapToGrid w:val="0"/>
          <w:sz w:val="20"/>
        </w:rPr>
        <w:t>b) contributi in conto esercizio dovuti in base a leggi o disposizioni contrattuali, rilevati per competenza e non per cassa e distinti in specifica sottovoce;</w:t>
      </w:r>
    </w:p>
    <w:p w14:paraId="69DC8949" w14:textId="77777777" w:rsidR="00EE4AF0" w:rsidRDefault="008F7AB6" w:rsidP="001223E5">
      <w:pPr>
        <w:widowControl w:val="0"/>
        <w:spacing w:before="120" w:after="120"/>
        <w:ind w:left="426"/>
        <w:jc w:val="both"/>
        <w:rPr>
          <w:rFonts w:ascii="Arial" w:hAnsi="Arial" w:cs="Arial"/>
          <w:snapToGrid w:val="0"/>
          <w:sz w:val="20"/>
        </w:rPr>
      </w:pPr>
      <w:r w:rsidRPr="008F7AB6">
        <w:rPr>
          <w:rFonts w:ascii="Arial" w:hAnsi="Arial" w:cs="Arial"/>
          <w:snapToGrid w:val="0"/>
          <w:sz w:val="20"/>
        </w:rPr>
        <w:t>c) sopravvenienze ed insussistenze relative a valori stimati che non derivino da errori, ma determinate da un normale e non prevedibile aggiornamento di stime compiute nei precedenti esercizi.</w:t>
      </w:r>
    </w:p>
    <w:p w14:paraId="4C8B9D4B" w14:textId="77777777" w:rsidR="00DD6555" w:rsidRPr="00DD6555" w:rsidRDefault="00DD6555" w:rsidP="001223E5">
      <w:pPr>
        <w:widowControl w:val="0"/>
        <w:tabs>
          <w:tab w:val="left" w:pos="204"/>
          <w:tab w:val="left" w:pos="1309"/>
          <w:tab w:val="left" w:pos="2835"/>
          <w:tab w:val="left" w:pos="8107"/>
        </w:tabs>
        <w:spacing w:before="120" w:after="120"/>
        <w:rPr>
          <w:rFonts w:ascii="Arial" w:hAnsi="Arial" w:cs="Arial"/>
          <w:b/>
          <w:snapToGrid w:val="0"/>
          <w:sz w:val="20"/>
        </w:rPr>
      </w:pPr>
      <w:r w:rsidRPr="00DD6555">
        <w:rPr>
          <w:rFonts w:ascii="Arial" w:hAnsi="Arial" w:cs="Arial"/>
          <w:b/>
          <w:snapToGrid w:val="0"/>
          <w:sz w:val="20"/>
        </w:rPr>
        <w:t>Costi</w:t>
      </w:r>
    </w:p>
    <w:p w14:paraId="231E360B" w14:textId="77777777" w:rsidR="00DD6555" w:rsidRDefault="00DD6555" w:rsidP="001223E5">
      <w:pPr>
        <w:widowControl w:val="0"/>
        <w:tabs>
          <w:tab w:val="left" w:pos="1620"/>
        </w:tabs>
        <w:spacing w:before="120" w:after="120"/>
        <w:jc w:val="both"/>
        <w:rPr>
          <w:rFonts w:ascii="Arial" w:hAnsi="Arial" w:cs="Arial"/>
          <w:snapToGrid w:val="0"/>
          <w:sz w:val="20"/>
        </w:rPr>
      </w:pPr>
      <w:r w:rsidRPr="00DD6555">
        <w:rPr>
          <w:rFonts w:ascii="Arial" w:hAnsi="Arial" w:cs="Arial"/>
          <w:snapToGrid w:val="0"/>
          <w:sz w:val="20"/>
        </w:rPr>
        <w:t>I costi sono contabilizzati in base al principio di competenza, indipendentemente dalla data di incasso e pagamento, al netto dei resi, degli sconti, degli abbuoni e dei premi.</w:t>
      </w:r>
    </w:p>
    <w:p w14:paraId="590BF7C5" w14:textId="77777777" w:rsidR="00DD6555" w:rsidRPr="00DD6555" w:rsidRDefault="00DD6555" w:rsidP="001223E5">
      <w:pPr>
        <w:widowControl w:val="0"/>
        <w:tabs>
          <w:tab w:val="left" w:pos="204"/>
          <w:tab w:val="left" w:pos="1309"/>
          <w:tab w:val="left" w:pos="2835"/>
          <w:tab w:val="left" w:pos="8107"/>
        </w:tabs>
        <w:spacing w:before="120" w:after="120"/>
        <w:rPr>
          <w:rFonts w:ascii="Arial" w:hAnsi="Arial" w:cs="Arial"/>
          <w:b/>
          <w:snapToGrid w:val="0"/>
          <w:sz w:val="20"/>
        </w:rPr>
      </w:pPr>
      <w:r w:rsidRPr="00DD6555">
        <w:rPr>
          <w:rFonts w:ascii="Arial" w:hAnsi="Arial" w:cs="Arial"/>
          <w:b/>
          <w:snapToGrid w:val="0"/>
          <w:sz w:val="20"/>
        </w:rPr>
        <w:t>Criteri di conversione delle poste in valuta</w:t>
      </w:r>
    </w:p>
    <w:p w14:paraId="3B2D2E1D" w14:textId="77777777" w:rsidR="00DD6555" w:rsidRPr="00DD6555" w:rsidRDefault="00DD6555" w:rsidP="001223E5">
      <w:pPr>
        <w:widowControl w:val="0"/>
        <w:tabs>
          <w:tab w:val="left" w:pos="1620"/>
        </w:tabs>
        <w:spacing w:before="120" w:after="120"/>
        <w:jc w:val="both"/>
        <w:rPr>
          <w:rFonts w:ascii="Arial" w:hAnsi="Arial" w:cs="Arial"/>
          <w:snapToGrid w:val="0"/>
          <w:sz w:val="20"/>
        </w:rPr>
      </w:pPr>
      <w:r w:rsidRPr="00DD6555">
        <w:rPr>
          <w:rFonts w:ascii="Arial" w:hAnsi="Arial" w:cs="Arial"/>
          <w:snapToGrid w:val="0"/>
          <w:sz w:val="20"/>
        </w:rPr>
        <w:t>Le attività e le passività espresse originariamente in valuta estera di natura monetaria sono convertite in bilancio al tasso di cambio a pronti alla data di chiusura dell’esercizio. A fine anno le attività e le passività in valuta, ad eccezione delle immobilizzazioni, vengono iscritte ai cambi a pronti in vigore alla data del bilancio; i relativi utili e perdite su cambi vengono iscritti al conto economico e l’eventuale utile netto viene accantonato in apposita riserva non distribuibile fino al realizzo.</w:t>
      </w:r>
    </w:p>
    <w:p w14:paraId="4F4ED771" w14:textId="77777777" w:rsidR="00EE4AF0" w:rsidRDefault="00EE4AF0" w:rsidP="001223E5">
      <w:pPr>
        <w:pStyle w:val="Titolo6"/>
        <w:shd w:val="clear" w:color="auto" w:fill="F3F3F3"/>
        <w:rPr>
          <w:rFonts w:ascii="Arial" w:hAnsi="Arial" w:cs="Arial"/>
          <w:sz w:val="20"/>
        </w:rPr>
      </w:pPr>
      <w:r>
        <w:rPr>
          <w:rFonts w:ascii="Arial" w:hAnsi="Arial" w:cs="Arial"/>
          <w:sz w:val="20"/>
        </w:rPr>
        <w:t>2. Movimenti delle immobilizzazioni (art. 2427 co 1 n. 2)</w:t>
      </w:r>
    </w:p>
    <w:p w14:paraId="1EABD9C7" w14:textId="77777777" w:rsidR="00114ADE" w:rsidRDefault="00EE4AF0" w:rsidP="001223E5">
      <w:pPr>
        <w:pStyle w:val="Testodelblocco"/>
        <w:spacing w:before="120"/>
        <w:ind w:left="0" w:right="0"/>
        <w:rPr>
          <w:rFonts w:ascii="Arial" w:hAnsi="Arial" w:cs="Arial"/>
          <w:color w:val="auto"/>
          <w:sz w:val="20"/>
        </w:rPr>
      </w:pPr>
      <w:r>
        <w:rPr>
          <w:rFonts w:ascii="Arial" w:hAnsi="Arial" w:cs="Arial"/>
          <w:color w:val="auto"/>
          <w:sz w:val="20"/>
        </w:rPr>
        <w:t xml:space="preserve">Nei seguenti prospetti vengono esposte le movimentazioni delle immobilizzazioni immateriali e </w:t>
      </w:r>
      <w:r>
        <w:rPr>
          <w:rFonts w:ascii="Arial" w:hAnsi="Arial" w:cs="Arial"/>
          <w:color w:val="auto"/>
          <w:sz w:val="20"/>
        </w:rPr>
        <w:lastRenderedPageBreak/>
        <w:t>materiali, evidenziandone distintamente per ciascuna categoria: il costo d’acquisto o di produzione, gli ammortamenti alla data di inizio dell’esercizio, le acquisizioni, le alienazioni e il valore netto di iscrizione in bilancio</w:t>
      </w:r>
      <w:r w:rsidR="00EE07EB">
        <w:rPr>
          <w:rFonts w:ascii="Arial" w:hAnsi="Arial" w:cs="Arial"/>
          <w:color w:val="auto"/>
          <w:sz w:val="20"/>
        </w:rPr>
        <w:t>.</w:t>
      </w:r>
    </w:p>
    <w:p w14:paraId="41CE64F6" w14:textId="77777777" w:rsidR="00EE4AF0" w:rsidRDefault="00EE4AF0" w:rsidP="001223E5">
      <w:pPr>
        <w:pStyle w:val="Testodelblocco"/>
        <w:spacing w:before="120"/>
        <w:ind w:left="0" w:right="0"/>
        <w:rPr>
          <w:rFonts w:ascii="Arial" w:hAnsi="Arial" w:cs="Arial"/>
          <w:color w:val="auto"/>
          <w:sz w:val="20"/>
        </w:rPr>
      </w:pPr>
      <w:r w:rsidRPr="00D151AD">
        <w:rPr>
          <w:rFonts w:ascii="Arial" w:hAnsi="Arial" w:cs="Arial"/>
          <w:b/>
          <w:bCs/>
          <w:color w:val="auto"/>
          <w:sz w:val="20"/>
        </w:rPr>
        <w:t>Immobilizzazioni immateriali</w:t>
      </w:r>
      <w:r>
        <w:rPr>
          <w:rFonts w:ascii="Arial" w:hAnsi="Arial" w:cs="Arial"/>
          <w:color w:val="auto"/>
          <w:sz w:val="20"/>
        </w:rPr>
        <w:t xml:space="preserve"> </w:t>
      </w:r>
    </w:p>
    <w:p w14:paraId="2603F7A7" w14:textId="77777777" w:rsidR="00AF1656" w:rsidRDefault="00AF1656" w:rsidP="001223E5">
      <w:pPr>
        <w:pStyle w:val="Testodelblocco"/>
        <w:spacing w:before="120"/>
        <w:ind w:left="0" w:right="0"/>
        <w:rPr>
          <w:rFonts w:ascii="Arial" w:hAnsi="Arial" w:cs="Arial"/>
          <w:color w:val="auto"/>
          <w:sz w:val="20"/>
        </w:rPr>
      </w:pPr>
      <w:r>
        <w:rPr>
          <w:rFonts w:ascii="Arial" w:hAnsi="Arial" w:cs="Arial"/>
          <w:color w:val="auto"/>
          <w:sz w:val="20"/>
        </w:rPr>
        <w:t xml:space="preserve">I valori </w:t>
      </w:r>
      <w:r w:rsidR="00DA0FEA">
        <w:rPr>
          <w:rFonts w:ascii="Arial" w:hAnsi="Arial" w:cs="Arial"/>
          <w:color w:val="auto"/>
          <w:sz w:val="20"/>
        </w:rPr>
        <w:t>delle tabelle sono espressi in Euro</w:t>
      </w:r>
      <w:r w:rsidR="00F6692B">
        <w:rPr>
          <w:rFonts w:ascii="Arial" w:hAnsi="Arial" w:cs="Arial"/>
          <w:color w:val="auto"/>
          <w:sz w:val="20"/>
        </w:rPr>
        <w:t>/</w:t>
      </w:r>
      <w:r w:rsidR="00A168D9">
        <w:rPr>
          <w:rFonts w:ascii="Arial" w:hAnsi="Arial" w:cs="Arial"/>
          <w:color w:val="auto"/>
          <w:sz w:val="20"/>
        </w:rPr>
        <w:t>(</w:t>
      </w:r>
      <w:r w:rsidR="00F6692B">
        <w:rPr>
          <w:rFonts w:ascii="Arial" w:hAnsi="Arial" w:cs="Arial"/>
          <w:color w:val="auto"/>
          <w:sz w:val="20"/>
        </w:rPr>
        <w:t>migliaia</w:t>
      </w:r>
      <w:r w:rsidR="00A168D9">
        <w:rPr>
          <w:rFonts w:ascii="Arial" w:hAnsi="Arial" w:cs="Arial"/>
          <w:color w:val="auto"/>
          <w:sz w:val="20"/>
        </w:rPr>
        <w:t>):</w:t>
      </w:r>
    </w:p>
    <w:p w14:paraId="014083AF" w14:textId="77777777" w:rsidR="009C5613" w:rsidRDefault="009C5613" w:rsidP="001223E5">
      <w:pPr>
        <w:pStyle w:val="Testodelblocco"/>
        <w:spacing w:before="120"/>
        <w:ind w:left="0" w:right="0"/>
        <w:rPr>
          <w:rFonts w:ascii="Arial" w:hAnsi="Arial" w:cs="Arial"/>
          <w:color w:val="auto"/>
          <w:sz w:val="20"/>
        </w:rPr>
      </w:pPr>
    </w:p>
    <w:tbl>
      <w:tblPr>
        <w:tblW w:w="8364" w:type="dxa"/>
        <w:tblInd w:w="70" w:type="dxa"/>
        <w:tblCellMar>
          <w:left w:w="70" w:type="dxa"/>
          <w:right w:w="70" w:type="dxa"/>
        </w:tblCellMar>
        <w:tblLook w:val="04A0" w:firstRow="1" w:lastRow="0" w:firstColumn="1" w:lastColumn="0" w:noHBand="0" w:noVBand="1"/>
      </w:tblPr>
      <w:tblGrid>
        <w:gridCol w:w="3326"/>
        <w:gridCol w:w="2057"/>
        <w:gridCol w:w="1280"/>
        <w:gridCol w:w="1701"/>
      </w:tblGrid>
      <w:tr w:rsidR="009C5613" w14:paraId="5CECC653" w14:textId="77777777" w:rsidTr="00CE6109">
        <w:trPr>
          <w:trHeight w:val="300"/>
        </w:trPr>
        <w:tc>
          <w:tcPr>
            <w:tcW w:w="3326" w:type="dxa"/>
            <w:tcBorders>
              <w:top w:val="nil"/>
              <w:left w:val="nil"/>
              <w:bottom w:val="nil"/>
              <w:right w:val="nil"/>
            </w:tcBorders>
            <w:shd w:val="clear" w:color="auto" w:fill="auto"/>
            <w:vAlign w:val="center"/>
            <w:hideMark/>
          </w:tcPr>
          <w:p w14:paraId="23088507" w14:textId="77777777" w:rsidR="009C5613" w:rsidRDefault="009C5613">
            <w:pPr>
              <w:rPr>
                <w:sz w:val="20"/>
                <w:szCs w:val="20"/>
              </w:rPr>
            </w:pPr>
          </w:p>
        </w:tc>
        <w:tc>
          <w:tcPr>
            <w:tcW w:w="2057" w:type="dxa"/>
            <w:tcBorders>
              <w:top w:val="nil"/>
              <w:left w:val="nil"/>
              <w:bottom w:val="nil"/>
              <w:right w:val="nil"/>
            </w:tcBorders>
            <w:shd w:val="clear" w:color="auto" w:fill="auto"/>
            <w:vAlign w:val="center"/>
            <w:hideMark/>
          </w:tcPr>
          <w:p w14:paraId="18E416B8" w14:textId="77777777" w:rsidR="009C5613" w:rsidRDefault="009C5613">
            <w:pPr>
              <w:jc w:val="center"/>
              <w:rPr>
                <w:b/>
                <w:bCs/>
                <w:sz w:val="22"/>
                <w:szCs w:val="22"/>
              </w:rPr>
            </w:pPr>
            <w:r>
              <w:rPr>
                <w:b/>
                <w:bCs/>
                <w:sz w:val="22"/>
                <w:szCs w:val="22"/>
              </w:rPr>
              <w:t>Esercizio 19</w:t>
            </w:r>
          </w:p>
        </w:tc>
        <w:tc>
          <w:tcPr>
            <w:tcW w:w="1280" w:type="dxa"/>
            <w:tcBorders>
              <w:top w:val="nil"/>
              <w:left w:val="nil"/>
              <w:bottom w:val="nil"/>
              <w:right w:val="nil"/>
            </w:tcBorders>
            <w:shd w:val="clear" w:color="auto" w:fill="auto"/>
            <w:vAlign w:val="center"/>
            <w:hideMark/>
          </w:tcPr>
          <w:p w14:paraId="0148402A" w14:textId="77777777" w:rsidR="009C5613" w:rsidRDefault="009C5613">
            <w:pPr>
              <w:jc w:val="center"/>
              <w:rPr>
                <w:b/>
                <w:bCs/>
                <w:sz w:val="22"/>
                <w:szCs w:val="22"/>
              </w:rPr>
            </w:pPr>
            <w:r>
              <w:rPr>
                <w:b/>
                <w:bCs/>
                <w:sz w:val="22"/>
                <w:szCs w:val="22"/>
              </w:rPr>
              <w:t>Esercizio 18</w:t>
            </w:r>
          </w:p>
        </w:tc>
        <w:tc>
          <w:tcPr>
            <w:tcW w:w="1701" w:type="dxa"/>
            <w:tcBorders>
              <w:top w:val="nil"/>
              <w:left w:val="nil"/>
              <w:bottom w:val="nil"/>
              <w:right w:val="nil"/>
            </w:tcBorders>
            <w:shd w:val="clear" w:color="auto" w:fill="auto"/>
            <w:noWrap/>
            <w:vAlign w:val="center"/>
            <w:hideMark/>
          </w:tcPr>
          <w:p w14:paraId="4BD246A3" w14:textId="77777777" w:rsidR="009C5613" w:rsidRDefault="009C5613">
            <w:pPr>
              <w:jc w:val="center"/>
              <w:rPr>
                <w:rFonts w:ascii="Arial" w:hAnsi="Arial" w:cs="Arial"/>
                <w:b/>
                <w:bCs/>
                <w:sz w:val="20"/>
                <w:szCs w:val="20"/>
              </w:rPr>
            </w:pPr>
            <w:r>
              <w:rPr>
                <w:rFonts w:ascii="Arial" w:hAnsi="Arial" w:cs="Arial"/>
                <w:b/>
                <w:bCs/>
                <w:sz w:val="20"/>
                <w:szCs w:val="20"/>
              </w:rPr>
              <w:t>Variazione</w:t>
            </w:r>
          </w:p>
        </w:tc>
      </w:tr>
      <w:tr w:rsidR="009C5613" w14:paraId="03F0B458" w14:textId="77777777" w:rsidTr="00CE6109">
        <w:trPr>
          <w:trHeight w:val="300"/>
        </w:trPr>
        <w:tc>
          <w:tcPr>
            <w:tcW w:w="3326" w:type="dxa"/>
            <w:tcBorders>
              <w:top w:val="single" w:sz="8" w:space="0" w:color="auto"/>
              <w:left w:val="nil"/>
              <w:bottom w:val="single" w:sz="8" w:space="0" w:color="auto"/>
              <w:right w:val="nil"/>
            </w:tcBorders>
            <w:shd w:val="clear" w:color="auto" w:fill="auto"/>
            <w:vAlign w:val="center"/>
            <w:hideMark/>
          </w:tcPr>
          <w:p w14:paraId="02814974" w14:textId="77777777" w:rsidR="009C5613" w:rsidRDefault="009C5613">
            <w:pPr>
              <w:jc w:val="both"/>
              <w:rPr>
                <w:b/>
                <w:bCs/>
                <w:sz w:val="22"/>
                <w:szCs w:val="22"/>
              </w:rPr>
            </w:pPr>
            <w:r>
              <w:rPr>
                <w:b/>
                <w:bCs/>
                <w:sz w:val="22"/>
                <w:szCs w:val="22"/>
              </w:rPr>
              <w:t>I.IMM. IMMATERIALI</w:t>
            </w:r>
          </w:p>
        </w:tc>
        <w:tc>
          <w:tcPr>
            <w:tcW w:w="2057" w:type="dxa"/>
            <w:tcBorders>
              <w:top w:val="single" w:sz="8" w:space="0" w:color="auto"/>
              <w:left w:val="nil"/>
              <w:bottom w:val="single" w:sz="8" w:space="0" w:color="auto"/>
              <w:right w:val="nil"/>
            </w:tcBorders>
            <w:shd w:val="clear" w:color="auto" w:fill="auto"/>
            <w:vAlign w:val="center"/>
            <w:hideMark/>
          </w:tcPr>
          <w:p w14:paraId="34EB9ED0" w14:textId="77777777" w:rsidR="009C5613" w:rsidRDefault="009C5613">
            <w:pPr>
              <w:jc w:val="center"/>
              <w:rPr>
                <w:b/>
                <w:bCs/>
                <w:sz w:val="22"/>
                <w:szCs w:val="22"/>
              </w:rPr>
            </w:pPr>
            <w:r>
              <w:rPr>
                <w:b/>
                <w:bCs/>
                <w:sz w:val="22"/>
                <w:szCs w:val="22"/>
              </w:rPr>
              <w:t>738</w:t>
            </w:r>
          </w:p>
        </w:tc>
        <w:tc>
          <w:tcPr>
            <w:tcW w:w="1280" w:type="dxa"/>
            <w:tcBorders>
              <w:top w:val="single" w:sz="8" w:space="0" w:color="auto"/>
              <w:left w:val="nil"/>
              <w:bottom w:val="single" w:sz="8" w:space="0" w:color="auto"/>
              <w:right w:val="nil"/>
            </w:tcBorders>
            <w:shd w:val="clear" w:color="auto" w:fill="auto"/>
            <w:vAlign w:val="center"/>
            <w:hideMark/>
          </w:tcPr>
          <w:p w14:paraId="4E3869D4" w14:textId="77777777" w:rsidR="009C5613" w:rsidRDefault="009C5613">
            <w:pPr>
              <w:jc w:val="center"/>
              <w:rPr>
                <w:b/>
                <w:bCs/>
                <w:sz w:val="22"/>
                <w:szCs w:val="22"/>
              </w:rPr>
            </w:pPr>
            <w:r>
              <w:rPr>
                <w:b/>
                <w:bCs/>
                <w:sz w:val="22"/>
                <w:szCs w:val="22"/>
              </w:rPr>
              <w:t>1.623</w:t>
            </w:r>
          </w:p>
        </w:tc>
        <w:tc>
          <w:tcPr>
            <w:tcW w:w="1701" w:type="dxa"/>
            <w:tcBorders>
              <w:top w:val="single" w:sz="8" w:space="0" w:color="auto"/>
              <w:left w:val="nil"/>
              <w:bottom w:val="single" w:sz="8" w:space="0" w:color="auto"/>
              <w:right w:val="nil"/>
            </w:tcBorders>
            <w:shd w:val="clear" w:color="auto" w:fill="auto"/>
            <w:noWrap/>
            <w:vAlign w:val="center"/>
            <w:hideMark/>
          </w:tcPr>
          <w:p w14:paraId="6540D9CF" w14:textId="77777777" w:rsidR="009C5613" w:rsidRDefault="009C5613">
            <w:pPr>
              <w:jc w:val="center"/>
              <w:rPr>
                <w:rFonts w:ascii="Arial" w:hAnsi="Arial" w:cs="Arial"/>
                <w:b/>
                <w:bCs/>
                <w:sz w:val="20"/>
                <w:szCs w:val="20"/>
              </w:rPr>
            </w:pPr>
            <w:r>
              <w:rPr>
                <w:rFonts w:ascii="Arial" w:hAnsi="Arial" w:cs="Arial"/>
                <w:b/>
                <w:bCs/>
                <w:sz w:val="20"/>
                <w:szCs w:val="20"/>
              </w:rPr>
              <w:t>-885</w:t>
            </w:r>
          </w:p>
        </w:tc>
      </w:tr>
      <w:tr w:rsidR="009C5613" w14:paraId="51CF05E3" w14:textId="77777777" w:rsidTr="00CE6109">
        <w:trPr>
          <w:trHeight w:val="300"/>
        </w:trPr>
        <w:tc>
          <w:tcPr>
            <w:tcW w:w="3326" w:type="dxa"/>
            <w:tcBorders>
              <w:top w:val="nil"/>
              <w:left w:val="nil"/>
              <w:bottom w:val="nil"/>
              <w:right w:val="nil"/>
            </w:tcBorders>
            <w:shd w:val="clear" w:color="auto" w:fill="auto"/>
            <w:vAlign w:val="center"/>
            <w:hideMark/>
          </w:tcPr>
          <w:p w14:paraId="444334CA" w14:textId="77777777" w:rsidR="009C5613" w:rsidRDefault="009C5613">
            <w:pPr>
              <w:jc w:val="both"/>
              <w:rPr>
                <w:b/>
                <w:bCs/>
                <w:sz w:val="22"/>
                <w:szCs w:val="22"/>
              </w:rPr>
            </w:pPr>
            <w:r>
              <w:rPr>
                <w:b/>
                <w:bCs/>
                <w:sz w:val="22"/>
                <w:szCs w:val="22"/>
              </w:rPr>
              <w:t xml:space="preserve">   I.4- </w:t>
            </w:r>
            <w:r>
              <w:rPr>
                <w:sz w:val="22"/>
                <w:szCs w:val="22"/>
              </w:rPr>
              <w:t>Concessioni e licenze</w:t>
            </w:r>
          </w:p>
        </w:tc>
        <w:tc>
          <w:tcPr>
            <w:tcW w:w="2057" w:type="dxa"/>
            <w:tcBorders>
              <w:top w:val="nil"/>
              <w:left w:val="nil"/>
              <w:bottom w:val="nil"/>
              <w:right w:val="nil"/>
            </w:tcBorders>
            <w:shd w:val="clear" w:color="auto" w:fill="auto"/>
            <w:vAlign w:val="center"/>
            <w:hideMark/>
          </w:tcPr>
          <w:p w14:paraId="614CF249" w14:textId="77777777" w:rsidR="009C5613" w:rsidRDefault="009C5613">
            <w:pPr>
              <w:jc w:val="center"/>
              <w:rPr>
                <w:sz w:val="22"/>
                <w:szCs w:val="22"/>
              </w:rPr>
            </w:pPr>
            <w:r>
              <w:rPr>
                <w:sz w:val="22"/>
                <w:szCs w:val="22"/>
              </w:rPr>
              <w:t>167</w:t>
            </w:r>
          </w:p>
        </w:tc>
        <w:tc>
          <w:tcPr>
            <w:tcW w:w="1280" w:type="dxa"/>
            <w:tcBorders>
              <w:top w:val="nil"/>
              <w:left w:val="nil"/>
              <w:bottom w:val="nil"/>
              <w:right w:val="nil"/>
            </w:tcBorders>
            <w:shd w:val="clear" w:color="auto" w:fill="auto"/>
            <w:vAlign w:val="center"/>
            <w:hideMark/>
          </w:tcPr>
          <w:p w14:paraId="5FF7D09B" w14:textId="77777777" w:rsidR="009C5613" w:rsidRDefault="009C5613">
            <w:pPr>
              <w:jc w:val="center"/>
              <w:rPr>
                <w:sz w:val="22"/>
                <w:szCs w:val="22"/>
              </w:rPr>
            </w:pPr>
            <w:r>
              <w:rPr>
                <w:sz w:val="22"/>
                <w:szCs w:val="22"/>
              </w:rPr>
              <w:t>168</w:t>
            </w:r>
          </w:p>
        </w:tc>
        <w:tc>
          <w:tcPr>
            <w:tcW w:w="1701" w:type="dxa"/>
            <w:tcBorders>
              <w:top w:val="nil"/>
              <w:left w:val="nil"/>
              <w:bottom w:val="nil"/>
              <w:right w:val="nil"/>
            </w:tcBorders>
            <w:shd w:val="clear" w:color="auto" w:fill="auto"/>
            <w:noWrap/>
            <w:vAlign w:val="center"/>
            <w:hideMark/>
          </w:tcPr>
          <w:p w14:paraId="410AAE57" w14:textId="77777777" w:rsidR="009C5613" w:rsidRDefault="009C5613">
            <w:pPr>
              <w:jc w:val="center"/>
              <w:rPr>
                <w:rFonts w:ascii="Arial" w:hAnsi="Arial" w:cs="Arial"/>
                <w:sz w:val="20"/>
                <w:szCs w:val="20"/>
              </w:rPr>
            </w:pPr>
            <w:r>
              <w:rPr>
                <w:rFonts w:ascii="Arial" w:hAnsi="Arial" w:cs="Arial"/>
                <w:sz w:val="20"/>
                <w:szCs w:val="20"/>
              </w:rPr>
              <w:t>-1</w:t>
            </w:r>
          </w:p>
        </w:tc>
      </w:tr>
      <w:tr w:rsidR="00FA68F4" w14:paraId="1E0004F7" w14:textId="77777777" w:rsidTr="00CE6109">
        <w:trPr>
          <w:trHeight w:val="300"/>
        </w:trPr>
        <w:tc>
          <w:tcPr>
            <w:tcW w:w="3326" w:type="dxa"/>
            <w:tcBorders>
              <w:top w:val="nil"/>
              <w:left w:val="nil"/>
              <w:bottom w:val="nil"/>
              <w:right w:val="nil"/>
            </w:tcBorders>
            <w:shd w:val="clear" w:color="auto" w:fill="auto"/>
            <w:vAlign w:val="center"/>
            <w:hideMark/>
          </w:tcPr>
          <w:p w14:paraId="0E21BDD8" w14:textId="7BB08F5F" w:rsidR="00FA68F4" w:rsidRDefault="00FA68F4">
            <w:pPr>
              <w:jc w:val="both"/>
              <w:rPr>
                <w:b/>
                <w:bCs/>
                <w:sz w:val="22"/>
                <w:szCs w:val="22"/>
              </w:rPr>
            </w:pPr>
            <w:r>
              <w:rPr>
                <w:b/>
                <w:bCs/>
                <w:sz w:val="22"/>
                <w:szCs w:val="22"/>
              </w:rPr>
              <w:t xml:space="preserve">   I.7- </w:t>
            </w:r>
            <w:r>
              <w:rPr>
                <w:sz w:val="22"/>
                <w:szCs w:val="22"/>
              </w:rPr>
              <w:t>Altre</w:t>
            </w:r>
          </w:p>
        </w:tc>
        <w:tc>
          <w:tcPr>
            <w:tcW w:w="2057" w:type="dxa"/>
            <w:tcBorders>
              <w:top w:val="nil"/>
              <w:left w:val="nil"/>
              <w:bottom w:val="nil"/>
              <w:right w:val="nil"/>
            </w:tcBorders>
            <w:shd w:val="clear" w:color="auto" w:fill="auto"/>
            <w:vAlign w:val="center"/>
            <w:hideMark/>
          </w:tcPr>
          <w:p w14:paraId="3F7CBBEB" w14:textId="3F793BC7" w:rsidR="00FA68F4" w:rsidRDefault="00FA68F4">
            <w:pPr>
              <w:jc w:val="center"/>
              <w:rPr>
                <w:sz w:val="22"/>
                <w:szCs w:val="22"/>
              </w:rPr>
            </w:pPr>
            <w:r>
              <w:rPr>
                <w:sz w:val="22"/>
                <w:szCs w:val="22"/>
              </w:rPr>
              <w:t>2.159</w:t>
            </w:r>
          </w:p>
        </w:tc>
        <w:tc>
          <w:tcPr>
            <w:tcW w:w="1280" w:type="dxa"/>
            <w:tcBorders>
              <w:top w:val="nil"/>
              <w:left w:val="nil"/>
              <w:bottom w:val="nil"/>
              <w:right w:val="nil"/>
            </w:tcBorders>
            <w:shd w:val="clear" w:color="auto" w:fill="auto"/>
            <w:vAlign w:val="center"/>
            <w:hideMark/>
          </w:tcPr>
          <w:p w14:paraId="2F4205E8" w14:textId="28F71C55" w:rsidR="00FA68F4" w:rsidRDefault="00FA68F4">
            <w:pPr>
              <w:jc w:val="center"/>
              <w:rPr>
                <w:sz w:val="22"/>
                <w:szCs w:val="22"/>
              </w:rPr>
            </w:pPr>
            <w:r>
              <w:rPr>
                <w:sz w:val="22"/>
                <w:szCs w:val="22"/>
              </w:rPr>
              <w:t>3.043</w:t>
            </w:r>
          </w:p>
        </w:tc>
        <w:tc>
          <w:tcPr>
            <w:tcW w:w="1701" w:type="dxa"/>
            <w:tcBorders>
              <w:top w:val="nil"/>
              <w:left w:val="nil"/>
              <w:bottom w:val="nil"/>
              <w:right w:val="nil"/>
            </w:tcBorders>
            <w:shd w:val="clear" w:color="auto" w:fill="auto"/>
            <w:noWrap/>
            <w:vAlign w:val="center"/>
            <w:hideMark/>
          </w:tcPr>
          <w:p w14:paraId="12E95F77" w14:textId="2B06B6F5" w:rsidR="00FA68F4" w:rsidRDefault="00FA68F4">
            <w:pPr>
              <w:jc w:val="center"/>
              <w:rPr>
                <w:rFonts w:ascii="Arial" w:hAnsi="Arial" w:cs="Arial"/>
                <w:sz w:val="20"/>
                <w:szCs w:val="20"/>
              </w:rPr>
            </w:pPr>
            <w:r>
              <w:rPr>
                <w:rFonts w:ascii="Arial" w:hAnsi="Arial" w:cs="Arial"/>
                <w:sz w:val="20"/>
                <w:szCs w:val="20"/>
              </w:rPr>
              <w:t>-884</w:t>
            </w:r>
          </w:p>
        </w:tc>
      </w:tr>
      <w:tr w:rsidR="00FA68F4" w14:paraId="25878A3C" w14:textId="77777777" w:rsidTr="00CE6109">
        <w:trPr>
          <w:trHeight w:val="300"/>
        </w:trPr>
        <w:tc>
          <w:tcPr>
            <w:tcW w:w="3326" w:type="dxa"/>
            <w:tcBorders>
              <w:top w:val="nil"/>
              <w:left w:val="nil"/>
              <w:bottom w:val="nil"/>
              <w:right w:val="nil"/>
            </w:tcBorders>
            <w:shd w:val="clear" w:color="auto" w:fill="auto"/>
            <w:vAlign w:val="center"/>
            <w:hideMark/>
          </w:tcPr>
          <w:p w14:paraId="01CB3C12" w14:textId="3BA592D2" w:rsidR="00FA68F4" w:rsidRDefault="00FA68F4">
            <w:pPr>
              <w:jc w:val="both"/>
              <w:rPr>
                <w:sz w:val="22"/>
                <w:szCs w:val="22"/>
              </w:rPr>
            </w:pPr>
            <w:r>
              <w:rPr>
                <w:sz w:val="22"/>
                <w:szCs w:val="22"/>
              </w:rPr>
              <w:t>(fondo svalutazione migliorie)</w:t>
            </w:r>
          </w:p>
        </w:tc>
        <w:tc>
          <w:tcPr>
            <w:tcW w:w="2057" w:type="dxa"/>
            <w:tcBorders>
              <w:top w:val="nil"/>
              <w:left w:val="nil"/>
              <w:bottom w:val="nil"/>
              <w:right w:val="nil"/>
            </w:tcBorders>
            <w:shd w:val="clear" w:color="auto" w:fill="auto"/>
            <w:vAlign w:val="center"/>
            <w:hideMark/>
          </w:tcPr>
          <w:p w14:paraId="6CCC24D3" w14:textId="59FE5682" w:rsidR="00FA68F4" w:rsidRDefault="00FA68F4">
            <w:pPr>
              <w:jc w:val="center"/>
              <w:rPr>
                <w:sz w:val="22"/>
                <w:szCs w:val="22"/>
              </w:rPr>
            </w:pPr>
            <w:r>
              <w:rPr>
                <w:sz w:val="22"/>
                <w:szCs w:val="22"/>
              </w:rPr>
              <w:t>-1.588</w:t>
            </w:r>
          </w:p>
        </w:tc>
        <w:tc>
          <w:tcPr>
            <w:tcW w:w="1280" w:type="dxa"/>
            <w:tcBorders>
              <w:top w:val="nil"/>
              <w:left w:val="nil"/>
              <w:bottom w:val="nil"/>
              <w:right w:val="nil"/>
            </w:tcBorders>
            <w:shd w:val="clear" w:color="auto" w:fill="auto"/>
            <w:vAlign w:val="center"/>
            <w:hideMark/>
          </w:tcPr>
          <w:p w14:paraId="6EADABE3" w14:textId="0D49995D" w:rsidR="00FA68F4" w:rsidRDefault="00FA68F4">
            <w:pPr>
              <w:jc w:val="center"/>
              <w:rPr>
                <w:sz w:val="22"/>
                <w:szCs w:val="22"/>
              </w:rPr>
            </w:pPr>
            <w:r>
              <w:rPr>
                <w:sz w:val="22"/>
                <w:szCs w:val="22"/>
              </w:rPr>
              <w:t>-1.588</w:t>
            </w:r>
          </w:p>
        </w:tc>
        <w:tc>
          <w:tcPr>
            <w:tcW w:w="1701" w:type="dxa"/>
            <w:tcBorders>
              <w:top w:val="nil"/>
              <w:left w:val="nil"/>
              <w:bottom w:val="nil"/>
              <w:right w:val="nil"/>
            </w:tcBorders>
            <w:shd w:val="clear" w:color="auto" w:fill="auto"/>
            <w:noWrap/>
            <w:vAlign w:val="center"/>
            <w:hideMark/>
          </w:tcPr>
          <w:p w14:paraId="17A81057" w14:textId="5B8D39FC" w:rsidR="00FA68F4" w:rsidRDefault="00FA68F4">
            <w:pPr>
              <w:jc w:val="center"/>
              <w:rPr>
                <w:rFonts w:ascii="Arial" w:hAnsi="Arial" w:cs="Arial"/>
                <w:sz w:val="20"/>
                <w:szCs w:val="20"/>
              </w:rPr>
            </w:pPr>
            <w:r>
              <w:rPr>
                <w:rFonts w:ascii="Arial" w:hAnsi="Arial" w:cs="Arial"/>
                <w:sz w:val="20"/>
                <w:szCs w:val="20"/>
              </w:rPr>
              <w:t>0</w:t>
            </w:r>
          </w:p>
        </w:tc>
      </w:tr>
      <w:tr w:rsidR="00FA68F4" w14:paraId="218D0F01" w14:textId="77777777" w:rsidTr="00CE6109">
        <w:trPr>
          <w:trHeight w:val="300"/>
        </w:trPr>
        <w:tc>
          <w:tcPr>
            <w:tcW w:w="3326" w:type="dxa"/>
            <w:tcBorders>
              <w:top w:val="nil"/>
              <w:left w:val="nil"/>
              <w:bottom w:val="double" w:sz="6" w:space="0" w:color="auto"/>
              <w:right w:val="nil"/>
            </w:tcBorders>
            <w:shd w:val="clear" w:color="auto" w:fill="auto"/>
            <w:vAlign w:val="center"/>
            <w:hideMark/>
          </w:tcPr>
          <w:p w14:paraId="5BCEF537" w14:textId="2B8FB3F7" w:rsidR="00FA68F4" w:rsidRDefault="00FA68F4">
            <w:pPr>
              <w:jc w:val="both"/>
              <w:rPr>
                <w:b/>
                <w:bCs/>
                <w:sz w:val="22"/>
                <w:szCs w:val="22"/>
              </w:rPr>
            </w:pPr>
            <w:r>
              <w:rPr>
                <w:rFonts w:ascii="Arial" w:hAnsi="Arial" w:cs="Arial"/>
                <w:sz w:val="20"/>
                <w:szCs w:val="20"/>
              </w:rPr>
              <w:t> </w:t>
            </w:r>
          </w:p>
        </w:tc>
        <w:tc>
          <w:tcPr>
            <w:tcW w:w="2057" w:type="dxa"/>
            <w:tcBorders>
              <w:top w:val="nil"/>
              <w:left w:val="nil"/>
              <w:bottom w:val="double" w:sz="6" w:space="0" w:color="auto"/>
              <w:right w:val="nil"/>
            </w:tcBorders>
            <w:shd w:val="clear" w:color="auto" w:fill="auto"/>
            <w:vAlign w:val="center"/>
            <w:hideMark/>
          </w:tcPr>
          <w:p w14:paraId="2DA21B85" w14:textId="42F7E193" w:rsidR="00FA68F4" w:rsidRDefault="00FA68F4">
            <w:pPr>
              <w:jc w:val="center"/>
              <w:rPr>
                <w:sz w:val="22"/>
                <w:szCs w:val="22"/>
              </w:rPr>
            </w:pPr>
            <w:r>
              <w:rPr>
                <w:sz w:val="22"/>
                <w:szCs w:val="22"/>
              </w:rPr>
              <w:t> </w:t>
            </w:r>
          </w:p>
        </w:tc>
        <w:tc>
          <w:tcPr>
            <w:tcW w:w="1280" w:type="dxa"/>
            <w:tcBorders>
              <w:top w:val="nil"/>
              <w:left w:val="nil"/>
              <w:bottom w:val="double" w:sz="6" w:space="0" w:color="auto"/>
              <w:right w:val="nil"/>
            </w:tcBorders>
            <w:shd w:val="clear" w:color="auto" w:fill="auto"/>
            <w:vAlign w:val="center"/>
            <w:hideMark/>
          </w:tcPr>
          <w:p w14:paraId="3F067D4E" w14:textId="3A958BE2" w:rsidR="00FA68F4" w:rsidRDefault="00FA68F4">
            <w:pPr>
              <w:jc w:val="center"/>
              <w:rPr>
                <w:sz w:val="22"/>
                <w:szCs w:val="22"/>
              </w:rPr>
            </w:pPr>
            <w:r>
              <w:rPr>
                <w:sz w:val="22"/>
                <w:szCs w:val="22"/>
              </w:rPr>
              <w:t> </w:t>
            </w:r>
          </w:p>
        </w:tc>
        <w:tc>
          <w:tcPr>
            <w:tcW w:w="1701" w:type="dxa"/>
            <w:tcBorders>
              <w:top w:val="nil"/>
              <w:left w:val="nil"/>
              <w:bottom w:val="double" w:sz="6" w:space="0" w:color="auto"/>
              <w:right w:val="nil"/>
            </w:tcBorders>
            <w:shd w:val="clear" w:color="auto" w:fill="auto"/>
            <w:noWrap/>
            <w:vAlign w:val="center"/>
            <w:hideMark/>
          </w:tcPr>
          <w:p w14:paraId="7701F7D1" w14:textId="162441E2" w:rsidR="00FA68F4" w:rsidRDefault="00FA68F4">
            <w:pPr>
              <w:jc w:val="center"/>
              <w:rPr>
                <w:rFonts w:ascii="Arial" w:hAnsi="Arial" w:cs="Arial"/>
                <w:sz w:val="20"/>
                <w:szCs w:val="20"/>
              </w:rPr>
            </w:pPr>
            <w:r>
              <w:rPr>
                <w:rFonts w:ascii="Arial" w:hAnsi="Arial" w:cs="Arial"/>
                <w:sz w:val="20"/>
                <w:szCs w:val="20"/>
              </w:rPr>
              <w:t> </w:t>
            </w:r>
          </w:p>
        </w:tc>
      </w:tr>
    </w:tbl>
    <w:p w14:paraId="589D2CEC" w14:textId="77777777" w:rsidR="001838B3" w:rsidRDefault="001838B3" w:rsidP="001223E5">
      <w:pPr>
        <w:pStyle w:val="Testodelblocco"/>
        <w:spacing w:before="120"/>
        <w:ind w:left="0" w:right="0"/>
        <w:rPr>
          <w:color w:val="auto"/>
          <w:sz w:val="20"/>
          <w:szCs w:val="20"/>
        </w:rPr>
      </w:pPr>
      <w:r>
        <w:fldChar w:fldCharType="begin"/>
      </w:r>
      <w:r>
        <w:instrText xml:space="preserve"> LINK Excel.Sheet.12 "\\\\server01\\documenti\\documenti\\archivi correnti_\\Napoli Park\\BILANCI\\2018\\Bilancio 2018\\Consolidato 2018\\Schede 2018.xlsx" "schede!R2C2:R9C5" \a \f 4 \h </w:instrText>
      </w:r>
      <w:r>
        <w:fldChar w:fldCharType="separate"/>
      </w:r>
    </w:p>
    <w:p w14:paraId="20D13A9E" w14:textId="77777777" w:rsidR="00EE4AF0" w:rsidRDefault="001838B3" w:rsidP="001223E5">
      <w:pPr>
        <w:pStyle w:val="Testodelblocco"/>
        <w:spacing w:before="120"/>
        <w:ind w:left="0" w:right="0"/>
        <w:rPr>
          <w:rFonts w:ascii="Arial" w:hAnsi="Arial" w:cs="Arial"/>
          <w:color w:val="auto"/>
          <w:sz w:val="20"/>
        </w:rPr>
      </w:pPr>
      <w:r>
        <w:rPr>
          <w:rFonts w:ascii="Arial" w:hAnsi="Arial" w:cs="Arial"/>
          <w:color w:val="auto"/>
          <w:sz w:val="20"/>
        </w:rPr>
        <w:fldChar w:fldCharType="end"/>
      </w:r>
      <w:r w:rsidR="00EE4AF0" w:rsidRPr="00942660">
        <w:rPr>
          <w:rFonts w:ascii="Arial" w:hAnsi="Arial" w:cs="Arial"/>
          <w:color w:val="auto"/>
          <w:sz w:val="20"/>
        </w:rPr>
        <w:t>Si indica qui di seguito la composizione delle singole voci</w:t>
      </w:r>
      <w:r w:rsidR="003D521C">
        <w:rPr>
          <w:rFonts w:ascii="Arial" w:hAnsi="Arial" w:cs="Arial"/>
          <w:color w:val="auto"/>
          <w:sz w:val="20"/>
        </w:rPr>
        <w:t xml:space="preserve"> che riguardano e</w:t>
      </w:r>
      <w:r w:rsidR="00A039D3">
        <w:rPr>
          <w:rFonts w:ascii="Arial" w:hAnsi="Arial" w:cs="Arial"/>
          <w:color w:val="auto"/>
          <w:sz w:val="20"/>
        </w:rPr>
        <w:t>sc</w:t>
      </w:r>
      <w:r w:rsidR="003D521C">
        <w:rPr>
          <w:rFonts w:ascii="Arial" w:hAnsi="Arial" w:cs="Arial"/>
          <w:color w:val="auto"/>
          <w:sz w:val="20"/>
        </w:rPr>
        <w:t>lusivamente la Controllata</w:t>
      </w:r>
      <w:r w:rsidR="00EE4AF0" w:rsidRPr="00942660">
        <w:rPr>
          <w:rFonts w:ascii="Arial" w:hAnsi="Arial" w:cs="Arial"/>
          <w:color w:val="auto"/>
          <w:sz w:val="20"/>
        </w:rPr>
        <w:t>.</w:t>
      </w:r>
    </w:p>
    <w:p w14:paraId="15C293EC" w14:textId="77777777" w:rsidR="00D46332" w:rsidRPr="00D46332" w:rsidRDefault="00D46332" w:rsidP="00D46332">
      <w:pPr>
        <w:pStyle w:val="Testodelblocco"/>
        <w:spacing w:before="120"/>
        <w:ind w:left="0"/>
        <w:rPr>
          <w:rFonts w:ascii="Arial" w:hAnsi="Arial" w:cs="Arial"/>
          <w:sz w:val="20"/>
        </w:rPr>
      </w:pPr>
      <w:r w:rsidRPr="00D46332">
        <w:rPr>
          <w:rFonts w:ascii="Arial" w:hAnsi="Arial" w:cs="Arial"/>
          <w:sz w:val="20"/>
        </w:rPr>
        <w:t xml:space="preserve">Nella voce al punto </w:t>
      </w:r>
      <w:r w:rsidRPr="00D46332">
        <w:rPr>
          <w:rFonts w:ascii="Arial" w:hAnsi="Arial" w:cs="Arial"/>
          <w:b/>
          <w:bCs/>
          <w:sz w:val="20"/>
        </w:rPr>
        <w:t xml:space="preserve">B.I.4 </w:t>
      </w:r>
      <w:r w:rsidRPr="00D46332">
        <w:rPr>
          <w:rFonts w:ascii="Arial" w:hAnsi="Arial" w:cs="Arial"/>
          <w:b/>
          <w:bCs/>
          <w:i/>
          <w:iCs/>
          <w:sz w:val="20"/>
        </w:rPr>
        <w:t>“Concessioni e licenze”</w:t>
      </w:r>
      <w:r w:rsidRPr="00D46332">
        <w:rPr>
          <w:rFonts w:ascii="Arial" w:hAnsi="Arial" w:cs="Arial"/>
          <w:sz w:val="20"/>
        </w:rPr>
        <w:t xml:space="preserve"> sono indicati i costi sostenuti per il software di base ed applicativo acquistato a titolo di licenze d'uso a tempo indeterminato esposto al netto del fondo di ammortamento imputato direttamente alle singole voci e calcolato secondo le misure esposte nei criteri di valutazione e pari a 16</w:t>
      </w:r>
      <w:r w:rsidR="009C5613">
        <w:rPr>
          <w:rFonts w:ascii="Arial" w:hAnsi="Arial" w:cs="Arial"/>
          <w:sz w:val="20"/>
        </w:rPr>
        <w:t>7</w:t>
      </w:r>
      <w:r w:rsidRPr="00D46332">
        <w:rPr>
          <w:rFonts w:ascii="Arial" w:hAnsi="Arial" w:cs="Arial"/>
          <w:sz w:val="20"/>
        </w:rPr>
        <w:t xml:space="preserve"> €/000;</w:t>
      </w:r>
    </w:p>
    <w:p w14:paraId="64B17403" w14:textId="77777777" w:rsidR="00D46332" w:rsidRDefault="00D46332" w:rsidP="00D46332">
      <w:pPr>
        <w:pStyle w:val="Testodelblocco"/>
        <w:spacing w:before="120"/>
        <w:ind w:left="0" w:right="0"/>
        <w:rPr>
          <w:rFonts w:ascii="Arial" w:hAnsi="Arial" w:cs="Arial"/>
          <w:color w:val="auto"/>
          <w:sz w:val="20"/>
        </w:rPr>
      </w:pPr>
      <w:r w:rsidRPr="00D46332">
        <w:rPr>
          <w:rFonts w:ascii="Arial" w:hAnsi="Arial" w:cs="Arial"/>
          <w:color w:val="auto"/>
          <w:sz w:val="20"/>
        </w:rPr>
        <w:t xml:space="preserve">Alla voce </w:t>
      </w:r>
      <w:r w:rsidRPr="00D46332">
        <w:rPr>
          <w:rFonts w:ascii="Arial" w:hAnsi="Arial" w:cs="Arial"/>
          <w:b/>
          <w:color w:val="auto"/>
          <w:sz w:val="20"/>
        </w:rPr>
        <w:t>B.I.7</w:t>
      </w:r>
      <w:r w:rsidRPr="00D46332">
        <w:rPr>
          <w:rFonts w:ascii="Arial" w:hAnsi="Arial" w:cs="Arial"/>
          <w:color w:val="auto"/>
          <w:sz w:val="20"/>
        </w:rPr>
        <w:t xml:space="preserve"> </w:t>
      </w:r>
      <w:r w:rsidRPr="00D46332">
        <w:rPr>
          <w:rFonts w:ascii="Arial" w:hAnsi="Arial" w:cs="Arial"/>
          <w:b/>
          <w:i/>
          <w:color w:val="auto"/>
          <w:sz w:val="20"/>
        </w:rPr>
        <w:t xml:space="preserve">“altre” </w:t>
      </w:r>
      <w:r w:rsidRPr="00D46332">
        <w:rPr>
          <w:rFonts w:ascii="Arial" w:hAnsi="Arial" w:cs="Arial"/>
          <w:color w:val="auto"/>
          <w:sz w:val="20"/>
        </w:rPr>
        <w:t xml:space="preserve">sono indicate le migliorie su beni di terzi, ovvero la patrimonializzazione delle opere completate e collaudate, effettuate su opere e infrastrutture di proprietà comunale e le spese rientranti tra le manutenzioni straordinarie da riaddebitare effettuate ai sensi del contratto di servizio, a fronte delle quali non è risultata la relativa copertura finanziaria. L’importo delle spese definite IMSCN sostenute nell’esercizio, come costi sostenuti per manutenzioni straordinarie non coperte da finanziamento, sono state capitalizzate alla voce in esame per </w:t>
      </w:r>
      <w:r w:rsidR="009C5613">
        <w:rPr>
          <w:rFonts w:ascii="Arial" w:hAnsi="Arial" w:cs="Arial"/>
          <w:color w:val="auto"/>
          <w:sz w:val="20"/>
        </w:rPr>
        <w:t>27</w:t>
      </w:r>
      <w:r w:rsidRPr="00D46332">
        <w:rPr>
          <w:rFonts w:ascii="Arial" w:hAnsi="Arial" w:cs="Arial"/>
          <w:color w:val="auto"/>
          <w:sz w:val="20"/>
        </w:rPr>
        <w:t xml:space="preserve"> €/000.</w:t>
      </w:r>
    </w:p>
    <w:p w14:paraId="06BC8889" w14:textId="77777777" w:rsidR="00FA68F4" w:rsidRDefault="00FA68F4" w:rsidP="00D46332">
      <w:pPr>
        <w:pStyle w:val="Testodelblocco"/>
        <w:spacing w:before="120"/>
        <w:ind w:left="0" w:right="0"/>
        <w:rPr>
          <w:rFonts w:ascii="Arial" w:hAnsi="Arial" w:cs="Arial"/>
          <w:color w:val="auto"/>
          <w:sz w:val="20"/>
        </w:rPr>
      </w:pPr>
    </w:p>
    <w:p w14:paraId="09CEA366" w14:textId="3F5CABA1" w:rsidR="009C5613" w:rsidRPr="009C5613" w:rsidRDefault="009C5613" w:rsidP="009C5613">
      <w:pPr>
        <w:pStyle w:val="Testodelblocco"/>
        <w:ind w:left="0"/>
        <w:rPr>
          <w:rFonts w:ascii="Arial" w:hAnsi="Arial" w:cs="Arial"/>
          <w:sz w:val="20"/>
        </w:rPr>
      </w:pPr>
      <w:r w:rsidRPr="009C5613">
        <w:rPr>
          <w:rFonts w:ascii="Arial" w:hAnsi="Arial" w:cs="Arial"/>
          <w:sz w:val="20"/>
        </w:rPr>
        <w:t xml:space="preserve">In sede di chiusura di bilancio 2019 </w:t>
      </w:r>
      <w:r w:rsidR="002A4703">
        <w:rPr>
          <w:rFonts w:ascii="Arial" w:hAnsi="Arial" w:cs="Arial"/>
          <w:sz w:val="20"/>
        </w:rPr>
        <w:t>il Gruppo</w:t>
      </w:r>
      <w:r w:rsidRPr="009C5613">
        <w:rPr>
          <w:rFonts w:ascii="Arial" w:hAnsi="Arial" w:cs="Arial"/>
          <w:sz w:val="20"/>
        </w:rPr>
        <w:t xml:space="preserve"> ha provveduto alla valutazione della recuperabilità delle immobilizzazioni immateriali detenute. L’impairment test, che nel 2016 era stato svolto con l’ausilio di un consulente esterno, è stato effettuato nel 2019, come già nei 2 anni precedenti internamente, in analogia a quello dell’esercizio precedente come segue:</w:t>
      </w:r>
    </w:p>
    <w:p w14:paraId="575F394C" w14:textId="77777777" w:rsidR="009C5613" w:rsidRPr="009C5613" w:rsidRDefault="009C5613" w:rsidP="009C5613">
      <w:pPr>
        <w:pStyle w:val="Testodelblocco"/>
        <w:ind w:left="0"/>
        <w:rPr>
          <w:rFonts w:ascii="Arial" w:hAnsi="Arial" w:cs="Arial"/>
          <w:sz w:val="20"/>
        </w:rPr>
      </w:pPr>
      <w:r w:rsidRPr="009C5613">
        <w:rPr>
          <w:rFonts w:ascii="Arial" w:hAnsi="Arial" w:cs="Arial"/>
          <w:sz w:val="20"/>
        </w:rPr>
        <w:t xml:space="preserve">- nella metodologia di stima del valore recuperabile, sono state individuate 2 distinte unità generatrice di flussi di cassa corrispondenti al settore della sosta e quello del TPL, che unisce i settori ferro e gomma  </w:t>
      </w:r>
    </w:p>
    <w:p w14:paraId="7B26101E" w14:textId="77777777" w:rsidR="009C5613" w:rsidRPr="009C5613" w:rsidRDefault="009C5613" w:rsidP="009C5613">
      <w:pPr>
        <w:pStyle w:val="Testodelblocco"/>
        <w:ind w:left="0"/>
        <w:rPr>
          <w:rFonts w:ascii="Arial" w:hAnsi="Arial" w:cs="Arial"/>
          <w:sz w:val="20"/>
        </w:rPr>
      </w:pPr>
      <w:r w:rsidRPr="009C5613">
        <w:rPr>
          <w:rFonts w:ascii="Arial" w:hAnsi="Arial" w:cs="Arial"/>
          <w:sz w:val="20"/>
        </w:rPr>
        <w:t xml:space="preserve">- orizzonte temporale di 2 anni come riferimento per la stima analitica dei flussi finanziari futuri rivenienti dal piano di concordato per i servizi TPL e di 3 anni per la gestione della sosta </w:t>
      </w:r>
    </w:p>
    <w:p w14:paraId="7E45443C" w14:textId="77777777" w:rsidR="009C5613" w:rsidRPr="009C5613" w:rsidRDefault="009C5613" w:rsidP="009C5613">
      <w:pPr>
        <w:pStyle w:val="Testodelblocco"/>
        <w:ind w:left="0"/>
        <w:rPr>
          <w:rFonts w:ascii="Arial" w:hAnsi="Arial" w:cs="Arial"/>
          <w:sz w:val="20"/>
        </w:rPr>
      </w:pPr>
      <w:r w:rsidRPr="009C5613">
        <w:rPr>
          <w:rFonts w:ascii="Arial" w:hAnsi="Arial" w:cs="Arial"/>
          <w:sz w:val="20"/>
        </w:rPr>
        <w:t xml:space="preserve">- tasso di attualizzazione dei flussi di cassa, come definito dalla delibera dell’Autorità di Regolazione dei Trasporti (ART) n. 65 del 12 marzo 2020 per il settore in cui ANM opera, pari al 4,4% al netto delle imposte (6,16% lordo). Tale tasso rappresenta il tasso di riferimento per il settore senza un premio per il rischio che rifletta la situazione di crisi in cui l’azienda verte. </w:t>
      </w:r>
    </w:p>
    <w:p w14:paraId="42579D05" w14:textId="77777777" w:rsidR="009C5613" w:rsidRPr="009C5613" w:rsidRDefault="009C5613" w:rsidP="009C5613">
      <w:pPr>
        <w:pStyle w:val="Testodelblocco"/>
        <w:ind w:left="0"/>
        <w:rPr>
          <w:rFonts w:ascii="Arial" w:hAnsi="Arial" w:cs="Arial"/>
          <w:sz w:val="20"/>
        </w:rPr>
      </w:pPr>
      <w:r w:rsidRPr="009C5613">
        <w:rPr>
          <w:rFonts w:ascii="Arial" w:hAnsi="Arial" w:cs="Arial"/>
          <w:sz w:val="20"/>
        </w:rPr>
        <w:t>- nell’analisi è stato inoltre considerato per l’attività della sosta il terminal value come rendimento perpetuo risultante dal risultato operativo al netto delle imposte teoriche dell’ultimo anno.</w:t>
      </w:r>
    </w:p>
    <w:p w14:paraId="362F9FF5" w14:textId="77777777" w:rsidR="009C5613" w:rsidRPr="009C5613" w:rsidRDefault="009C5613" w:rsidP="00AD6A18">
      <w:pPr>
        <w:pStyle w:val="Testodelblocco"/>
        <w:spacing w:before="120"/>
        <w:ind w:left="0" w:right="0"/>
        <w:rPr>
          <w:rFonts w:ascii="Arial" w:hAnsi="Arial" w:cs="Arial"/>
          <w:sz w:val="20"/>
        </w:rPr>
      </w:pPr>
      <w:r w:rsidRPr="009C5613">
        <w:rPr>
          <w:rFonts w:ascii="Arial" w:hAnsi="Arial" w:cs="Arial"/>
          <w:sz w:val="20"/>
        </w:rPr>
        <w:t xml:space="preserve">Con riferimento all’orizzonte temporale per i servizi TPL si evidenzia che il piano di concordato (riferimento per l’impairment test 2016 e 2017) prevedeva il subentro di nuovo gestore a scadenza del contratto di servizio (31.12.2019), scenario che non si è verificato. Come già evidenziato precedentemente, ANM prosegue anche nel 2020 nella gestione del TPL, come correttamente già ipotizzato ai fini dell’impairment dell’anno scorso. In coerenza con l’impostazione del test effettuato nel 2018 si è scelto prudenzialmente di estendere l’orizzonte di solo 2 anni. L’ipotesi </w:t>
      </w:r>
      <w:r w:rsidRPr="009C5613">
        <w:rPr>
          <w:rFonts w:ascii="Arial" w:hAnsi="Arial" w:cs="Arial"/>
          <w:sz w:val="20"/>
        </w:rPr>
        <w:lastRenderedPageBreak/>
        <w:t>alla base del test 2018 è stata rivista includendo per gli anni 2020-21 la gestione del contratto suburbano che continua ad essere gestito da ANM in mancanza di aggiudicazione della gara del lotto 4. Non è considerato, nelle stime dei valori del conto economico e nei flussi di cassa, l’impatto dell’emergenza covid, non prevedibile alla data di riferimento del bilancio, così come indicato nel documento interpretativo n. 6 dell’OIC.</w:t>
      </w:r>
    </w:p>
    <w:p w14:paraId="5C185D5C" w14:textId="77777777" w:rsidR="009C5613" w:rsidRPr="009C5613" w:rsidRDefault="009C5613" w:rsidP="00AD6A18">
      <w:pPr>
        <w:pStyle w:val="Testodelblocco"/>
        <w:spacing w:before="120"/>
        <w:ind w:left="0" w:right="0"/>
        <w:rPr>
          <w:rFonts w:ascii="Arial" w:hAnsi="Arial" w:cs="Arial"/>
          <w:sz w:val="20"/>
        </w:rPr>
      </w:pPr>
      <w:r w:rsidRPr="009C5613">
        <w:rPr>
          <w:rFonts w:ascii="Arial" w:hAnsi="Arial" w:cs="Arial"/>
          <w:sz w:val="20"/>
        </w:rPr>
        <w:t xml:space="preserve">Per quanto riguarda la determinazione del carrying amount si segnala che è stato considerato il capitale investito netto (CIN) di ciascuna delle 2 CGU. In considerazione della procedura di concordato i debiti verso fornitori alla data del concordato sono stati considerati indebitamento finanziario e non portato a riduzione del CIN. Una considerazione particolare riguarda il Parcheggio Brin. Con l’assemblea straordinaria di aprile 2017 è stato deliberato un aumento di capitale in natura tramite conferimento dell’immobile “Parcheggio Brin” per un valore di €/000 9.952. Tale valore è confermato da una perizia di stima. Tale parcheggio era gestito dall’azienda già prima del conferimento e quindi i relativi flussi di cassa facevano già parte della CGU “sosta”. Tali flussi di cassa non hanno subito modifiche strutturali a seguito del conferimento. Infatti, è rimasto invariato anche il canone di gestione da corrispondere al Comune di Napoli. Ne consegue che il bene conferito non è un asset a cui sono legati flussi di cassa aggiuntivi. Il valore del bene è, quindi, rappresentato dal suo valore di mercato immobiliare attestato da perizia. </w:t>
      </w:r>
    </w:p>
    <w:p w14:paraId="2DC266B8" w14:textId="77777777" w:rsidR="009C5613" w:rsidRPr="009C5613" w:rsidRDefault="009C5613" w:rsidP="00AD6A18">
      <w:pPr>
        <w:pStyle w:val="Testodelblocco"/>
        <w:spacing w:before="120"/>
        <w:ind w:left="0" w:right="0"/>
        <w:rPr>
          <w:rFonts w:ascii="Arial" w:hAnsi="Arial" w:cs="Arial"/>
          <w:sz w:val="20"/>
        </w:rPr>
      </w:pPr>
      <w:r w:rsidRPr="009C5613">
        <w:rPr>
          <w:rFonts w:ascii="Arial" w:hAnsi="Arial" w:cs="Arial"/>
          <w:sz w:val="20"/>
        </w:rPr>
        <w:t>Alla luce di quanto sopra esposto si può concludere che per la determinazione del valore recuperabile del Parcheggio Brin un ragionamento basato sul DCF non è da considerare un metodo adatto, bensì quello del fair value, che si evince dalla perizia di stima. Tale valore è stato quindi escluso dal carrying amount da prendere in considerazione per la CGU sosta, mentre i flussi di cassa rimangono inclusi nei flussi della CGU. Da tale analisi sono non emersi indicatori di ulteriori perdite durevoli di valore rispetto alle svalutazioni già adoperate negli anni precedenti. L’analisi è basata sulle stime di evoluzione economico-finanziaria che tengono conto delle condizioni esistenti alla data di riferimento del bilancio e, pertanto, in coerenza con le indicazioni del documento interpretativo numero 6 dell’OIC, non tiene conto degli impatti della pandemia causata dal nuovo coronavirus covid 19. Allo stato attuale, anche alla luce della continua evoluzione normativa in materia di misure a compensazione degli effetti negativi su costi e ricavi della pandemia, non è possibile effettuare una stima affidabile dell’impatto sui flussi di cassa. Seguendo l’interpretazione dell’OIC la pandemia rappresenta un evento catastrofico intervenuto dopo la chiusura del bilancio, che in analogia a quanto previsto dal paragrafo 59b dell’OIC 29 per la distruzione di cespiti avvenuta dopo la chiusura di bilancio, non deve essere recepito nei valori di bilancio. Si segnala, tuttavia, che le perdite in termini già registrati nel corso del 2020 sono molto significativi, e allo stato attuale non si ha la certezza della dimensione finale delle misure compensative messe in atto dal Governo. In considerazione dell’importanza dei flussi di cassa provenienti dalla vendita di titoli di viaggio e di sosta, l’azienda ha comunque simulato un impairment test basato sull’andamento di tali ricavi nel 2020 e ipotizzando un andamento analogo ancora fino alla fine del primo semestre 2021, senza tener conto di misure compensative, da cui risulta un impairment loss pari al valore totale dei cespiti. Una valutazione accurata sarà effettuata nel bilancio del 2020, sulla base di elementi economico-finanziari e normativi più certi, ma non è da escludere che l’impatto della pandemia possa comportare, nel prossimo futuro, la necessità di svalutazione al minor valore recuperabile.</w:t>
      </w:r>
    </w:p>
    <w:p w14:paraId="35709918" w14:textId="77777777" w:rsidR="00D65236" w:rsidRPr="00D65236" w:rsidRDefault="00D65236" w:rsidP="008B3BFA">
      <w:pPr>
        <w:pStyle w:val="Testodelblocco"/>
        <w:spacing w:before="120"/>
        <w:ind w:left="142"/>
        <w:rPr>
          <w:rFonts w:ascii="Arial" w:hAnsi="Arial" w:cs="Arial"/>
          <w:b/>
          <w:bCs/>
          <w:i/>
          <w:iCs/>
          <w:sz w:val="20"/>
        </w:rPr>
      </w:pPr>
      <w:r w:rsidRPr="00D65236">
        <w:rPr>
          <w:rFonts w:ascii="Arial" w:hAnsi="Arial" w:cs="Arial"/>
          <w:b/>
          <w:bCs/>
          <w:i/>
          <w:iCs/>
          <w:sz w:val="20"/>
        </w:rPr>
        <w:t>Euro migliaia</w:t>
      </w:r>
    </w:p>
    <w:tbl>
      <w:tblPr>
        <w:tblW w:w="8438" w:type="dxa"/>
        <w:tblInd w:w="80" w:type="dxa"/>
        <w:tblCellMar>
          <w:left w:w="70" w:type="dxa"/>
          <w:right w:w="70" w:type="dxa"/>
        </w:tblCellMar>
        <w:tblLook w:val="04A0" w:firstRow="1" w:lastRow="0" w:firstColumn="1" w:lastColumn="0" w:noHBand="0" w:noVBand="1"/>
      </w:tblPr>
      <w:tblGrid>
        <w:gridCol w:w="3534"/>
        <w:gridCol w:w="1843"/>
        <w:gridCol w:w="1701"/>
        <w:gridCol w:w="1360"/>
      </w:tblGrid>
      <w:tr w:rsidR="00CC7FDA" w14:paraId="2E079BA5" w14:textId="77777777" w:rsidTr="00CC7FDA">
        <w:trPr>
          <w:trHeight w:val="315"/>
        </w:trPr>
        <w:tc>
          <w:tcPr>
            <w:tcW w:w="3534" w:type="dxa"/>
            <w:tcBorders>
              <w:top w:val="single" w:sz="8" w:space="0" w:color="auto"/>
              <w:left w:val="single" w:sz="8" w:space="0" w:color="auto"/>
              <w:bottom w:val="single" w:sz="8" w:space="0" w:color="auto"/>
              <w:right w:val="nil"/>
            </w:tcBorders>
            <w:shd w:val="clear" w:color="000000" w:fill="D9D9D9"/>
            <w:noWrap/>
            <w:vAlign w:val="center"/>
            <w:hideMark/>
          </w:tcPr>
          <w:p w14:paraId="020B6893" w14:textId="77777777" w:rsidR="00CC7FDA" w:rsidRDefault="00CC7FDA">
            <w:pPr>
              <w:rPr>
                <w:rFonts w:ascii="Arial" w:hAnsi="Arial" w:cs="Arial"/>
                <w:sz w:val="20"/>
                <w:szCs w:val="20"/>
              </w:rPr>
            </w:pPr>
            <w:r>
              <w:rPr>
                <w:rFonts w:ascii="Arial" w:hAnsi="Arial" w:cs="Arial"/>
                <w:sz w:val="20"/>
                <w:szCs w:val="20"/>
              </w:rPr>
              <w:t> </w:t>
            </w:r>
          </w:p>
        </w:tc>
        <w:tc>
          <w:tcPr>
            <w:tcW w:w="1843" w:type="dxa"/>
            <w:tcBorders>
              <w:top w:val="single" w:sz="8" w:space="0" w:color="auto"/>
              <w:left w:val="nil"/>
              <w:bottom w:val="single" w:sz="8" w:space="0" w:color="auto"/>
              <w:right w:val="nil"/>
            </w:tcBorders>
            <w:shd w:val="clear" w:color="000000" w:fill="D9D9D9"/>
            <w:noWrap/>
            <w:vAlign w:val="center"/>
            <w:hideMark/>
          </w:tcPr>
          <w:p w14:paraId="0AB781E8" w14:textId="77777777" w:rsidR="00CC7FDA" w:rsidRDefault="00CC7FDA">
            <w:pPr>
              <w:jc w:val="center"/>
              <w:rPr>
                <w:rFonts w:ascii="Arial" w:hAnsi="Arial" w:cs="Arial"/>
                <w:b/>
                <w:bCs/>
                <w:sz w:val="20"/>
                <w:szCs w:val="20"/>
              </w:rPr>
            </w:pPr>
            <w:r>
              <w:rPr>
                <w:rFonts w:ascii="Arial" w:hAnsi="Arial" w:cs="Arial"/>
                <w:b/>
                <w:bCs/>
                <w:sz w:val="20"/>
                <w:szCs w:val="20"/>
              </w:rPr>
              <w:t>31.12.2019</w:t>
            </w:r>
          </w:p>
        </w:tc>
        <w:tc>
          <w:tcPr>
            <w:tcW w:w="1701" w:type="dxa"/>
            <w:tcBorders>
              <w:top w:val="single" w:sz="8" w:space="0" w:color="auto"/>
              <w:left w:val="nil"/>
              <w:bottom w:val="single" w:sz="8" w:space="0" w:color="auto"/>
              <w:right w:val="nil"/>
            </w:tcBorders>
            <w:shd w:val="clear" w:color="000000" w:fill="D9D9D9"/>
            <w:noWrap/>
            <w:vAlign w:val="center"/>
            <w:hideMark/>
          </w:tcPr>
          <w:p w14:paraId="3CFF6518" w14:textId="77777777" w:rsidR="00CC7FDA" w:rsidRDefault="00CC7FDA">
            <w:pPr>
              <w:jc w:val="center"/>
              <w:rPr>
                <w:rFonts w:ascii="Arial" w:hAnsi="Arial" w:cs="Arial"/>
                <w:b/>
                <w:bCs/>
                <w:sz w:val="20"/>
                <w:szCs w:val="20"/>
              </w:rPr>
            </w:pPr>
            <w:r>
              <w:rPr>
                <w:rFonts w:ascii="Arial" w:hAnsi="Arial" w:cs="Arial"/>
                <w:b/>
                <w:bCs/>
                <w:sz w:val="20"/>
                <w:szCs w:val="20"/>
              </w:rPr>
              <w:t>31.12.2018</w:t>
            </w:r>
          </w:p>
        </w:tc>
        <w:tc>
          <w:tcPr>
            <w:tcW w:w="1360" w:type="dxa"/>
            <w:tcBorders>
              <w:top w:val="single" w:sz="8" w:space="0" w:color="auto"/>
              <w:left w:val="nil"/>
              <w:bottom w:val="single" w:sz="8" w:space="0" w:color="auto"/>
              <w:right w:val="nil"/>
            </w:tcBorders>
            <w:shd w:val="clear" w:color="000000" w:fill="D9D9D9"/>
            <w:noWrap/>
            <w:vAlign w:val="center"/>
            <w:hideMark/>
          </w:tcPr>
          <w:p w14:paraId="2CD622F3" w14:textId="77777777" w:rsidR="00CC7FDA" w:rsidRDefault="00CC7FDA">
            <w:pPr>
              <w:jc w:val="center"/>
              <w:rPr>
                <w:rFonts w:ascii="Arial" w:hAnsi="Arial" w:cs="Arial"/>
                <w:b/>
                <w:bCs/>
                <w:sz w:val="20"/>
                <w:szCs w:val="20"/>
              </w:rPr>
            </w:pPr>
            <w:r>
              <w:rPr>
                <w:rFonts w:ascii="Arial" w:hAnsi="Arial" w:cs="Arial"/>
                <w:b/>
                <w:bCs/>
                <w:sz w:val="20"/>
                <w:szCs w:val="20"/>
              </w:rPr>
              <w:t>Variazione</w:t>
            </w:r>
          </w:p>
        </w:tc>
      </w:tr>
      <w:tr w:rsidR="00CC7FDA" w14:paraId="53BF9ECF" w14:textId="77777777" w:rsidTr="00CC7FDA">
        <w:trPr>
          <w:trHeight w:val="255"/>
        </w:trPr>
        <w:tc>
          <w:tcPr>
            <w:tcW w:w="3534" w:type="dxa"/>
            <w:tcBorders>
              <w:top w:val="nil"/>
              <w:left w:val="nil"/>
              <w:bottom w:val="nil"/>
              <w:right w:val="nil"/>
            </w:tcBorders>
            <w:shd w:val="clear" w:color="auto" w:fill="auto"/>
            <w:noWrap/>
            <w:vAlign w:val="center"/>
            <w:hideMark/>
          </w:tcPr>
          <w:p w14:paraId="74EADAD6" w14:textId="77777777" w:rsidR="00CC7FDA" w:rsidRDefault="00CC7FDA">
            <w:pPr>
              <w:rPr>
                <w:rFonts w:ascii="Arial" w:hAnsi="Arial" w:cs="Arial"/>
                <w:sz w:val="20"/>
                <w:szCs w:val="20"/>
              </w:rPr>
            </w:pPr>
            <w:r>
              <w:rPr>
                <w:rFonts w:ascii="Arial" w:hAnsi="Arial" w:cs="Arial"/>
                <w:sz w:val="20"/>
                <w:szCs w:val="20"/>
              </w:rPr>
              <w:t>Immobilizzazioni Materiali</w:t>
            </w:r>
          </w:p>
        </w:tc>
        <w:tc>
          <w:tcPr>
            <w:tcW w:w="1843" w:type="dxa"/>
            <w:tcBorders>
              <w:top w:val="nil"/>
              <w:left w:val="nil"/>
              <w:bottom w:val="nil"/>
              <w:right w:val="nil"/>
            </w:tcBorders>
            <w:shd w:val="clear" w:color="auto" w:fill="auto"/>
            <w:noWrap/>
            <w:vAlign w:val="center"/>
            <w:hideMark/>
          </w:tcPr>
          <w:p w14:paraId="70DA3209" w14:textId="77777777" w:rsidR="00CC7FDA" w:rsidRDefault="00CC7FDA" w:rsidP="005E7669">
            <w:pPr>
              <w:jc w:val="center"/>
              <w:rPr>
                <w:rFonts w:ascii="Arial" w:hAnsi="Arial" w:cs="Arial"/>
                <w:sz w:val="20"/>
                <w:szCs w:val="20"/>
              </w:rPr>
            </w:pPr>
            <w:r>
              <w:rPr>
                <w:rFonts w:ascii="Arial" w:hAnsi="Arial" w:cs="Arial"/>
                <w:sz w:val="20"/>
                <w:szCs w:val="20"/>
              </w:rPr>
              <w:t>29.508</w:t>
            </w:r>
          </w:p>
        </w:tc>
        <w:tc>
          <w:tcPr>
            <w:tcW w:w="1701" w:type="dxa"/>
            <w:tcBorders>
              <w:top w:val="nil"/>
              <w:left w:val="nil"/>
              <w:bottom w:val="nil"/>
              <w:right w:val="nil"/>
            </w:tcBorders>
            <w:shd w:val="clear" w:color="auto" w:fill="auto"/>
            <w:noWrap/>
            <w:vAlign w:val="center"/>
            <w:hideMark/>
          </w:tcPr>
          <w:p w14:paraId="7DBE6B7E" w14:textId="77777777" w:rsidR="00CC7FDA" w:rsidRDefault="00CC7FDA" w:rsidP="005E7669">
            <w:pPr>
              <w:jc w:val="center"/>
              <w:rPr>
                <w:rFonts w:ascii="Arial" w:hAnsi="Arial" w:cs="Arial"/>
                <w:sz w:val="20"/>
                <w:szCs w:val="20"/>
              </w:rPr>
            </w:pPr>
            <w:r>
              <w:rPr>
                <w:rFonts w:ascii="Arial" w:hAnsi="Arial" w:cs="Arial"/>
                <w:sz w:val="20"/>
                <w:szCs w:val="20"/>
              </w:rPr>
              <w:t>32.134</w:t>
            </w:r>
          </w:p>
        </w:tc>
        <w:tc>
          <w:tcPr>
            <w:tcW w:w="1360" w:type="dxa"/>
            <w:tcBorders>
              <w:top w:val="nil"/>
              <w:left w:val="nil"/>
              <w:bottom w:val="nil"/>
              <w:right w:val="nil"/>
            </w:tcBorders>
            <w:shd w:val="clear" w:color="auto" w:fill="auto"/>
            <w:noWrap/>
            <w:vAlign w:val="center"/>
            <w:hideMark/>
          </w:tcPr>
          <w:p w14:paraId="0D2EB417" w14:textId="77777777" w:rsidR="00CC7FDA" w:rsidRDefault="00CC7FDA" w:rsidP="005E7669">
            <w:pPr>
              <w:jc w:val="center"/>
              <w:rPr>
                <w:rFonts w:ascii="Arial" w:hAnsi="Arial" w:cs="Arial"/>
                <w:sz w:val="20"/>
                <w:szCs w:val="20"/>
              </w:rPr>
            </w:pPr>
            <w:r>
              <w:rPr>
                <w:rFonts w:ascii="Arial" w:hAnsi="Arial" w:cs="Arial"/>
                <w:sz w:val="20"/>
                <w:szCs w:val="20"/>
              </w:rPr>
              <w:t>-2.626</w:t>
            </w:r>
          </w:p>
        </w:tc>
      </w:tr>
      <w:tr w:rsidR="00CC7FDA" w14:paraId="70CC92E3" w14:textId="77777777" w:rsidTr="00CC7FDA">
        <w:trPr>
          <w:trHeight w:val="270"/>
        </w:trPr>
        <w:tc>
          <w:tcPr>
            <w:tcW w:w="3534" w:type="dxa"/>
            <w:tcBorders>
              <w:top w:val="nil"/>
              <w:left w:val="nil"/>
              <w:bottom w:val="nil"/>
              <w:right w:val="nil"/>
            </w:tcBorders>
            <w:shd w:val="clear" w:color="auto" w:fill="auto"/>
            <w:noWrap/>
            <w:vAlign w:val="bottom"/>
            <w:hideMark/>
          </w:tcPr>
          <w:p w14:paraId="793C5DD6" w14:textId="77777777" w:rsidR="00CC7FDA" w:rsidRDefault="00CC7FDA">
            <w:pPr>
              <w:jc w:val="right"/>
              <w:rPr>
                <w:rFonts w:ascii="Arial" w:hAnsi="Arial" w:cs="Arial"/>
                <w:sz w:val="20"/>
                <w:szCs w:val="20"/>
              </w:rPr>
            </w:pPr>
          </w:p>
        </w:tc>
        <w:tc>
          <w:tcPr>
            <w:tcW w:w="1843" w:type="dxa"/>
            <w:tcBorders>
              <w:top w:val="nil"/>
              <w:left w:val="nil"/>
              <w:bottom w:val="nil"/>
              <w:right w:val="nil"/>
            </w:tcBorders>
            <w:shd w:val="clear" w:color="auto" w:fill="auto"/>
            <w:noWrap/>
            <w:vAlign w:val="bottom"/>
            <w:hideMark/>
          </w:tcPr>
          <w:p w14:paraId="1BE8D780" w14:textId="77777777" w:rsidR="00CC7FDA" w:rsidRDefault="00CC7FDA" w:rsidP="005E7669">
            <w:pPr>
              <w:jc w:val="center"/>
              <w:rPr>
                <w:sz w:val="20"/>
                <w:szCs w:val="20"/>
              </w:rPr>
            </w:pPr>
          </w:p>
        </w:tc>
        <w:tc>
          <w:tcPr>
            <w:tcW w:w="1701" w:type="dxa"/>
            <w:tcBorders>
              <w:top w:val="nil"/>
              <w:left w:val="nil"/>
              <w:bottom w:val="nil"/>
              <w:right w:val="nil"/>
            </w:tcBorders>
            <w:shd w:val="clear" w:color="auto" w:fill="auto"/>
            <w:noWrap/>
            <w:vAlign w:val="bottom"/>
            <w:hideMark/>
          </w:tcPr>
          <w:p w14:paraId="4EA00D9C" w14:textId="77777777" w:rsidR="00CC7FDA" w:rsidRDefault="00CC7FDA" w:rsidP="005E7669">
            <w:pPr>
              <w:jc w:val="center"/>
              <w:rPr>
                <w:sz w:val="20"/>
                <w:szCs w:val="20"/>
              </w:rPr>
            </w:pPr>
          </w:p>
        </w:tc>
        <w:tc>
          <w:tcPr>
            <w:tcW w:w="1360" w:type="dxa"/>
            <w:tcBorders>
              <w:top w:val="nil"/>
              <w:left w:val="nil"/>
              <w:bottom w:val="nil"/>
              <w:right w:val="nil"/>
            </w:tcBorders>
            <w:shd w:val="clear" w:color="auto" w:fill="auto"/>
            <w:noWrap/>
            <w:vAlign w:val="bottom"/>
            <w:hideMark/>
          </w:tcPr>
          <w:p w14:paraId="6D36F7C8" w14:textId="77777777" w:rsidR="00CC7FDA" w:rsidRDefault="00CC7FDA" w:rsidP="005E7669">
            <w:pPr>
              <w:jc w:val="center"/>
              <w:rPr>
                <w:sz w:val="20"/>
                <w:szCs w:val="20"/>
              </w:rPr>
            </w:pPr>
          </w:p>
        </w:tc>
      </w:tr>
      <w:tr w:rsidR="00CC7FDA" w14:paraId="42EF7A2D" w14:textId="77777777" w:rsidTr="00CC7FDA">
        <w:trPr>
          <w:trHeight w:val="360"/>
        </w:trPr>
        <w:tc>
          <w:tcPr>
            <w:tcW w:w="3534" w:type="dxa"/>
            <w:tcBorders>
              <w:top w:val="single" w:sz="8" w:space="0" w:color="auto"/>
              <w:left w:val="single" w:sz="8" w:space="0" w:color="auto"/>
              <w:bottom w:val="single" w:sz="8" w:space="0" w:color="auto"/>
              <w:right w:val="nil"/>
            </w:tcBorders>
            <w:shd w:val="clear" w:color="000000" w:fill="D9D9D9"/>
            <w:noWrap/>
            <w:vAlign w:val="center"/>
            <w:hideMark/>
          </w:tcPr>
          <w:p w14:paraId="732C0992" w14:textId="77777777" w:rsidR="00CC7FDA" w:rsidRDefault="00CC7FDA">
            <w:pPr>
              <w:rPr>
                <w:rFonts w:ascii="Arial" w:hAnsi="Arial" w:cs="Arial"/>
                <w:b/>
                <w:bCs/>
                <w:sz w:val="20"/>
                <w:szCs w:val="20"/>
              </w:rPr>
            </w:pPr>
            <w:r>
              <w:rPr>
                <w:rFonts w:ascii="Arial" w:hAnsi="Arial" w:cs="Arial"/>
                <w:b/>
                <w:bCs/>
                <w:sz w:val="20"/>
                <w:szCs w:val="20"/>
              </w:rPr>
              <w:t>Totale</w:t>
            </w:r>
          </w:p>
        </w:tc>
        <w:tc>
          <w:tcPr>
            <w:tcW w:w="1843" w:type="dxa"/>
            <w:tcBorders>
              <w:top w:val="single" w:sz="8" w:space="0" w:color="auto"/>
              <w:left w:val="nil"/>
              <w:bottom w:val="single" w:sz="8" w:space="0" w:color="auto"/>
              <w:right w:val="nil"/>
            </w:tcBorders>
            <w:shd w:val="clear" w:color="000000" w:fill="D9D9D9"/>
            <w:noWrap/>
            <w:vAlign w:val="center"/>
            <w:hideMark/>
          </w:tcPr>
          <w:p w14:paraId="7B7810A9" w14:textId="77777777" w:rsidR="00CC7FDA" w:rsidRDefault="00CC7FDA" w:rsidP="005E7669">
            <w:pPr>
              <w:jc w:val="center"/>
              <w:rPr>
                <w:rFonts w:ascii="Arial" w:hAnsi="Arial" w:cs="Arial"/>
                <w:b/>
                <w:bCs/>
                <w:sz w:val="20"/>
                <w:szCs w:val="20"/>
              </w:rPr>
            </w:pPr>
            <w:r>
              <w:rPr>
                <w:rFonts w:ascii="Arial" w:hAnsi="Arial" w:cs="Arial"/>
                <w:b/>
                <w:bCs/>
                <w:sz w:val="20"/>
                <w:szCs w:val="20"/>
              </w:rPr>
              <w:t>29.508</w:t>
            </w:r>
          </w:p>
        </w:tc>
        <w:tc>
          <w:tcPr>
            <w:tcW w:w="1701" w:type="dxa"/>
            <w:tcBorders>
              <w:top w:val="single" w:sz="8" w:space="0" w:color="auto"/>
              <w:left w:val="nil"/>
              <w:bottom w:val="single" w:sz="8" w:space="0" w:color="auto"/>
              <w:right w:val="nil"/>
            </w:tcBorders>
            <w:shd w:val="clear" w:color="000000" w:fill="D9D9D9"/>
            <w:noWrap/>
            <w:vAlign w:val="center"/>
            <w:hideMark/>
          </w:tcPr>
          <w:p w14:paraId="48240F84" w14:textId="77777777" w:rsidR="00CC7FDA" w:rsidRDefault="00CC7FDA" w:rsidP="005E7669">
            <w:pPr>
              <w:jc w:val="center"/>
              <w:rPr>
                <w:rFonts w:ascii="Arial" w:hAnsi="Arial" w:cs="Arial"/>
                <w:b/>
                <w:bCs/>
                <w:sz w:val="20"/>
                <w:szCs w:val="20"/>
              </w:rPr>
            </w:pPr>
            <w:r>
              <w:rPr>
                <w:rFonts w:ascii="Arial" w:hAnsi="Arial" w:cs="Arial"/>
                <w:b/>
                <w:bCs/>
                <w:sz w:val="20"/>
                <w:szCs w:val="20"/>
              </w:rPr>
              <w:t>32.134</w:t>
            </w:r>
          </w:p>
        </w:tc>
        <w:tc>
          <w:tcPr>
            <w:tcW w:w="1360" w:type="dxa"/>
            <w:tcBorders>
              <w:top w:val="single" w:sz="8" w:space="0" w:color="auto"/>
              <w:left w:val="nil"/>
              <w:bottom w:val="single" w:sz="8" w:space="0" w:color="auto"/>
              <w:right w:val="nil"/>
            </w:tcBorders>
            <w:shd w:val="clear" w:color="000000" w:fill="D9D9D9"/>
            <w:noWrap/>
            <w:vAlign w:val="center"/>
            <w:hideMark/>
          </w:tcPr>
          <w:p w14:paraId="2A7418FD" w14:textId="77777777" w:rsidR="00CC7FDA" w:rsidRDefault="00CC7FDA" w:rsidP="005E7669">
            <w:pPr>
              <w:jc w:val="center"/>
              <w:rPr>
                <w:rFonts w:ascii="Arial" w:hAnsi="Arial" w:cs="Arial"/>
                <w:b/>
                <w:bCs/>
                <w:sz w:val="20"/>
                <w:szCs w:val="20"/>
              </w:rPr>
            </w:pPr>
            <w:r>
              <w:rPr>
                <w:rFonts w:ascii="Arial" w:hAnsi="Arial" w:cs="Arial"/>
                <w:b/>
                <w:bCs/>
                <w:sz w:val="20"/>
                <w:szCs w:val="20"/>
              </w:rPr>
              <w:t>-2.626</w:t>
            </w:r>
          </w:p>
        </w:tc>
      </w:tr>
    </w:tbl>
    <w:p w14:paraId="782EE922" w14:textId="77777777" w:rsidR="002F202E" w:rsidRDefault="002F202E" w:rsidP="0024489C">
      <w:pPr>
        <w:widowControl w:val="0"/>
        <w:ind w:right="1"/>
        <w:jc w:val="both"/>
        <w:rPr>
          <w:rFonts w:ascii="Arial" w:hAnsi="Arial" w:cs="Arial"/>
          <w:sz w:val="20"/>
        </w:rPr>
      </w:pPr>
    </w:p>
    <w:p w14:paraId="3AB2C6EC" w14:textId="77777777" w:rsidR="0024489C" w:rsidRDefault="0024489C" w:rsidP="0024489C">
      <w:pPr>
        <w:widowControl w:val="0"/>
        <w:ind w:right="1"/>
        <w:jc w:val="both"/>
        <w:rPr>
          <w:rFonts w:ascii="Arial" w:hAnsi="Arial" w:cs="Arial"/>
          <w:sz w:val="20"/>
        </w:rPr>
      </w:pPr>
      <w:r w:rsidRPr="003B1588">
        <w:rPr>
          <w:rFonts w:ascii="Arial" w:hAnsi="Arial" w:cs="Arial"/>
          <w:sz w:val="20"/>
        </w:rPr>
        <w:t xml:space="preserve">La classe “Immobilizzazioni materiali” accoglie i beni di proprietà dell’Azienda, nonché le opere e lavori in corso. </w:t>
      </w:r>
    </w:p>
    <w:p w14:paraId="6D70EBB2" w14:textId="50BB2D20" w:rsidR="0024489C" w:rsidRDefault="0024489C" w:rsidP="008B3BFA">
      <w:pPr>
        <w:widowControl w:val="0"/>
        <w:ind w:right="1"/>
        <w:jc w:val="both"/>
        <w:rPr>
          <w:rFonts w:ascii="Arial" w:hAnsi="Arial" w:cs="Arial"/>
          <w:b/>
          <w:bCs/>
          <w:i/>
          <w:iCs/>
          <w:sz w:val="20"/>
        </w:rPr>
      </w:pPr>
      <w:r w:rsidRPr="003B1588">
        <w:rPr>
          <w:rFonts w:ascii="Arial" w:hAnsi="Arial" w:cs="Arial"/>
          <w:sz w:val="20"/>
        </w:rPr>
        <w:t xml:space="preserve">Di seguito il dettaglio (art. 2424 c.c) dei singoli raggruppamenti e relativo costo di acquisto esposto al netto del fondo di ammortamento e dell’eventuale svalutazione effettuata in ottemperanza del </w:t>
      </w:r>
      <w:r w:rsidRPr="003B1588">
        <w:rPr>
          <w:rFonts w:ascii="Arial" w:hAnsi="Arial" w:cs="Arial"/>
          <w:sz w:val="20"/>
        </w:rPr>
        <w:lastRenderedPageBreak/>
        <w:t>principio contabile OIC 16.</w:t>
      </w:r>
    </w:p>
    <w:p w14:paraId="200F08DF" w14:textId="77777777" w:rsidR="00E9197E" w:rsidRDefault="0024489C" w:rsidP="0024489C">
      <w:pPr>
        <w:pStyle w:val="Testodelblocco"/>
        <w:spacing w:after="120"/>
        <w:ind w:left="0" w:right="0"/>
        <w:rPr>
          <w:rFonts w:ascii="Arial" w:hAnsi="Arial" w:cs="Arial"/>
          <w:b/>
          <w:bCs/>
          <w:color w:val="auto"/>
          <w:sz w:val="20"/>
        </w:rPr>
      </w:pPr>
      <w:r w:rsidRPr="0024489C">
        <w:rPr>
          <w:rFonts w:ascii="Arial" w:hAnsi="Arial" w:cs="Arial"/>
          <w:b/>
          <w:bCs/>
          <w:i/>
          <w:iCs/>
          <w:color w:val="auto"/>
          <w:sz w:val="20"/>
        </w:rPr>
        <w:t>Euro</w:t>
      </w:r>
      <w:r>
        <w:rPr>
          <w:rFonts w:ascii="Arial" w:hAnsi="Arial" w:cs="Arial"/>
          <w:b/>
          <w:bCs/>
          <w:i/>
          <w:iCs/>
          <w:color w:val="auto"/>
          <w:sz w:val="20"/>
        </w:rPr>
        <w:t xml:space="preserve"> migliaia</w:t>
      </w:r>
    </w:p>
    <w:tbl>
      <w:tblPr>
        <w:tblW w:w="8642" w:type="dxa"/>
        <w:tblInd w:w="75" w:type="dxa"/>
        <w:tblCellMar>
          <w:left w:w="70" w:type="dxa"/>
          <w:right w:w="70" w:type="dxa"/>
        </w:tblCellMar>
        <w:tblLook w:val="04A0" w:firstRow="1" w:lastRow="0" w:firstColumn="1" w:lastColumn="0" w:noHBand="0" w:noVBand="1"/>
      </w:tblPr>
      <w:tblGrid>
        <w:gridCol w:w="3823"/>
        <w:gridCol w:w="992"/>
        <w:gridCol w:w="3827"/>
      </w:tblGrid>
      <w:tr w:rsidR="00CC7FDA" w14:paraId="0F53BA21" w14:textId="77777777" w:rsidTr="00CC7FDA">
        <w:trPr>
          <w:trHeight w:val="510"/>
        </w:trPr>
        <w:tc>
          <w:tcPr>
            <w:tcW w:w="3823" w:type="dxa"/>
            <w:tcBorders>
              <w:top w:val="single" w:sz="4" w:space="0" w:color="auto"/>
              <w:left w:val="single" w:sz="4" w:space="0" w:color="auto"/>
              <w:bottom w:val="nil"/>
              <w:right w:val="nil"/>
            </w:tcBorders>
            <w:shd w:val="clear" w:color="auto" w:fill="auto"/>
            <w:vAlign w:val="center"/>
            <w:hideMark/>
          </w:tcPr>
          <w:p w14:paraId="7BD41A91" w14:textId="77777777" w:rsidR="00CC7FDA" w:rsidRDefault="00CC7FDA">
            <w:pPr>
              <w:jc w:val="both"/>
              <w:rPr>
                <w:b/>
                <w:bCs/>
                <w:sz w:val="20"/>
                <w:szCs w:val="20"/>
              </w:rPr>
            </w:pPr>
            <w:r>
              <w:rPr>
                <w:b/>
                <w:bCs/>
                <w:sz w:val="20"/>
                <w:szCs w:val="20"/>
              </w:rPr>
              <w:t>RAGGRUPPAMENTO VOCI</w:t>
            </w:r>
          </w:p>
        </w:tc>
        <w:tc>
          <w:tcPr>
            <w:tcW w:w="992" w:type="dxa"/>
            <w:tcBorders>
              <w:top w:val="single" w:sz="4" w:space="0" w:color="auto"/>
              <w:left w:val="nil"/>
              <w:bottom w:val="nil"/>
              <w:right w:val="nil"/>
            </w:tcBorders>
            <w:shd w:val="clear" w:color="auto" w:fill="auto"/>
            <w:vAlign w:val="center"/>
            <w:hideMark/>
          </w:tcPr>
          <w:p w14:paraId="130C186D" w14:textId="77777777" w:rsidR="00CC7FDA" w:rsidRDefault="00CC7FDA">
            <w:pPr>
              <w:jc w:val="both"/>
              <w:rPr>
                <w:b/>
                <w:bCs/>
                <w:sz w:val="20"/>
                <w:szCs w:val="20"/>
              </w:rPr>
            </w:pPr>
            <w:r>
              <w:rPr>
                <w:b/>
                <w:bCs/>
                <w:sz w:val="20"/>
                <w:szCs w:val="20"/>
              </w:rPr>
              <w:t> </w:t>
            </w:r>
          </w:p>
        </w:tc>
        <w:tc>
          <w:tcPr>
            <w:tcW w:w="3827" w:type="dxa"/>
            <w:tcBorders>
              <w:top w:val="single" w:sz="4" w:space="0" w:color="auto"/>
              <w:left w:val="nil"/>
              <w:bottom w:val="nil"/>
              <w:right w:val="single" w:sz="4" w:space="0" w:color="auto"/>
            </w:tcBorders>
            <w:shd w:val="clear" w:color="auto" w:fill="auto"/>
            <w:vAlign w:val="center"/>
            <w:hideMark/>
          </w:tcPr>
          <w:p w14:paraId="5211C8DD" w14:textId="77777777" w:rsidR="00CC7FDA" w:rsidRDefault="00CC7FDA">
            <w:pPr>
              <w:jc w:val="center"/>
              <w:rPr>
                <w:b/>
                <w:bCs/>
                <w:sz w:val="20"/>
                <w:szCs w:val="20"/>
              </w:rPr>
            </w:pPr>
            <w:r>
              <w:rPr>
                <w:b/>
                <w:bCs/>
                <w:sz w:val="20"/>
                <w:szCs w:val="20"/>
              </w:rPr>
              <w:t>VALORE ISCRITTO IN BILANCIO 2019</w:t>
            </w:r>
          </w:p>
        </w:tc>
      </w:tr>
      <w:tr w:rsidR="00CC7FDA" w14:paraId="590AD5DD" w14:textId="77777777" w:rsidTr="00CC7FDA">
        <w:trPr>
          <w:trHeight w:val="300"/>
        </w:trPr>
        <w:tc>
          <w:tcPr>
            <w:tcW w:w="3823" w:type="dxa"/>
            <w:tcBorders>
              <w:top w:val="nil"/>
              <w:left w:val="single" w:sz="4" w:space="0" w:color="auto"/>
              <w:bottom w:val="nil"/>
              <w:right w:val="nil"/>
            </w:tcBorders>
            <w:shd w:val="clear" w:color="auto" w:fill="auto"/>
            <w:vAlign w:val="center"/>
            <w:hideMark/>
          </w:tcPr>
          <w:p w14:paraId="1A18306C" w14:textId="77777777" w:rsidR="00CC7FDA" w:rsidRDefault="00CC7FDA">
            <w:pPr>
              <w:jc w:val="both"/>
              <w:rPr>
                <w:b/>
                <w:bCs/>
                <w:sz w:val="20"/>
                <w:szCs w:val="20"/>
              </w:rPr>
            </w:pPr>
            <w:r>
              <w:rPr>
                <w:b/>
                <w:bCs/>
                <w:sz w:val="20"/>
                <w:szCs w:val="20"/>
              </w:rPr>
              <w:t>1. Terreni e fabbricati</w:t>
            </w:r>
          </w:p>
        </w:tc>
        <w:tc>
          <w:tcPr>
            <w:tcW w:w="992" w:type="dxa"/>
            <w:tcBorders>
              <w:top w:val="nil"/>
              <w:left w:val="nil"/>
              <w:bottom w:val="nil"/>
              <w:right w:val="nil"/>
            </w:tcBorders>
            <w:shd w:val="clear" w:color="auto" w:fill="auto"/>
            <w:vAlign w:val="center"/>
            <w:hideMark/>
          </w:tcPr>
          <w:p w14:paraId="2D066E0F" w14:textId="77777777" w:rsidR="00CC7FDA" w:rsidRDefault="00CC7FDA">
            <w:pPr>
              <w:jc w:val="both"/>
              <w:rPr>
                <w:b/>
                <w:bCs/>
                <w:sz w:val="20"/>
                <w:szCs w:val="20"/>
              </w:rPr>
            </w:pPr>
          </w:p>
        </w:tc>
        <w:tc>
          <w:tcPr>
            <w:tcW w:w="3827" w:type="dxa"/>
            <w:tcBorders>
              <w:top w:val="nil"/>
              <w:left w:val="nil"/>
              <w:bottom w:val="nil"/>
              <w:right w:val="single" w:sz="4" w:space="0" w:color="auto"/>
            </w:tcBorders>
            <w:shd w:val="clear" w:color="auto" w:fill="auto"/>
            <w:vAlign w:val="center"/>
            <w:hideMark/>
          </w:tcPr>
          <w:p w14:paraId="6AB91295" w14:textId="77777777" w:rsidR="00CC7FDA" w:rsidRDefault="00CC7FDA" w:rsidP="00CC7FDA">
            <w:pPr>
              <w:jc w:val="center"/>
              <w:rPr>
                <w:sz w:val="20"/>
                <w:szCs w:val="20"/>
              </w:rPr>
            </w:pPr>
            <w:r>
              <w:rPr>
                <w:sz w:val="20"/>
                <w:szCs w:val="20"/>
              </w:rPr>
              <w:t>18.959</w:t>
            </w:r>
          </w:p>
        </w:tc>
      </w:tr>
      <w:tr w:rsidR="00CC7FDA" w14:paraId="31C8F466" w14:textId="77777777" w:rsidTr="00CC7FDA">
        <w:trPr>
          <w:trHeight w:val="255"/>
        </w:trPr>
        <w:tc>
          <w:tcPr>
            <w:tcW w:w="3823" w:type="dxa"/>
            <w:tcBorders>
              <w:top w:val="nil"/>
              <w:left w:val="single" w:sz="4" w:space="0" w:color="auto"/>
              <w:bottom w:val="nil"/>
              <w:right w:val="nil"/>
            </w:tcBorders>
            <w:shd w:val="clear" w:color="auto" w:fill="auto"/>
            <w:vAlign w:val="center"/>
            <w:hideMark/>
          </w:tcPr>
          <w:p w14:paraId="0FBB632B" w14:textId="77777777" w:rsidR="00CC7FDA" w:rsidRDefault="00CC7FDA">
            <w:pPr>
              <w:jc w:val="both"/>
              <w:rPr>
                <w:b/>
                <w:bCs/>
                <w:sz w:val="20"/>
                <w:szCs w:val="20"/>
              </w:rPr>
            </w:pPr>
            <w:r>
              <w:rPr>
                <w:b/>
                <w:bCs/>
                <w:sz w:val="20"/>
                <w:szCs w:val="20"/>
              </w:rPr>
              <w:t>(svalutazione da impairment test)</w:t>
            </w:r>
          </w:p>
        </w:tc>
        <w:tc>
          <w:tcPr>
            <w:tcW w:w="992" w:type="dxa"/>
            <w:tcBorders>
              <w:top w:val="nil"/>
              <w:left w:val="nil"/>
              <w:bottom w:val="nil"/>
              <w:right w:val="nil"/>
            </w:tcBorders>
            <w:shd w:val="clear" w:color="auto" w:fill="auto"/>
            <w:vAlign w:val="center"/>
            <w:hideMark/>
          </w:tcPr>
          <w:p w14:paraId="22D820F8" w14:textId="77777777" w:rsidR="00CC7FDA" w:rsidRDefault="00CC7FDA">
            <w:pPr>
              <w:jc w:val="both"/>
              <w:rPr>
                <w:b/>
                <w:bCs/>
                <w:sz w:val="20"/>
                <w:szCs w:val="20"/>
              </w:rPr>
            </w:pPr>
          </w:p>
        </w:tc>
        <w:tc>
          <w:tcPr>
            <w:tcW w:w="3827" w:type="dxa"/>
            <w:tcBorders>
              <w:top w:val="nil"/>
              <w:left w:val="nil"/>
              <w:bottom w:val="nil"/>
              <w:right w:val="single" w:sz="4" w:space="0" w:color="auto"/>
            </w:tcBorders>
            <w:shd w:val="clear" w:color="auto" w:fill="auto"/>
            <w:vAlign w:val="center"/>
            <w:hideMark/>
          </w:tcPr>
          <w:p w14:paraId="58759459" w14:textId="77777777" w:rsidR="00CC7FDA" w:rsidRDefault="00CC7FDA" w:rsidP="00CC7FDA">
            <w:pPr>
              <w:jc w:val="center"/>
              <w:rPr>
                <w:sz w:val="20"/>
                <w:szCs w:val="20"/>
              </w:rPr>
            </w:pPr>
            <w:r>
              <w:rPr>
                <w:sz w:val="20"/>
                <w:szCs w:val="20"/>
              </w:rPr>
              <w:t>1.343</w:t>
            </w:r>
          </w:p>
        </w:tc>
      </w:tr>
      <w:tr w:rsidR="00CC7FDA" w14:paraId="6F03E0B9" w14:textId="77777777" w:rsidTr="00CC7FDA">
        <w:trPr>
          <w:trHeight w:val="255"/>
        </w:trPr>
        <w:tc>
          <w:tcPr>
            <w:tcW w:w="3823" w:type="dxa"/>
            <w:tcBorders>
              <w:top w:val="nil"/>
              <w:left w:val="single" w:sz="4" w:space="0" w:color="auto"/>
              <w:bottom w:val="nil"/>
              <w:right w:val="nil"/>
            </w:tcBorders>
            <w:shd w:val="clear" w:color="auto" w:fill="auto"/>
            <w:vAlign w:val="center"/>
            <w:hideMark/>
          </w:tcPr>
          <w:p w14:paraId="0554AD46" w14:textId="77777777" w:rsidR="00CC7FDA" w:rsidRDefault="00CC7FDA">
            <w:pPr>
              <w:jc w:val="both"/>
              <w:rPr>
                <w:b/>
                <w:bCs/>
                <w:sz w:val="20"/>
                <w:szCs w:val="20"/>
              </w:rPr>
            </w:pPr>
            <w:r>
              <w:rPr>
                <w:b/>
                <w:bCs/>
                <w:sz w:val="20"/>
                <w:szCs w:val="20"/>
              </w:rPr>
              <w:t>2. Impianti e macchinari</w:t>
            </w:r>
          </w:p>
        </w:tc>
        <w:tc>
          <w:tcPr>
            <w:tcW w:w="992" w:type="dxa"/>
            <w:tcBorders>
              <w:top w:val="nil"/>
              <w:left w:val="nil"/>
              <w:bottom w:val="nil"/>
              <w:right w:val="nil"/>
            </w:tcBorders>
            <w:shd w:val="clear" w:color="auto" w:fill="auto"/>
            <w:vAlign w:val="center"/>
            <w:hideMark/>
          </w:tcPr>
          <w:p w14:paraId="1C87FD18" w14:textId="77777777" w:rsidR="00CC7FDA" w:rsidRDefault="00CC7FDA">
            <w:pPr>
              <w:jc w:val="both"/>
              <w:rPr>
                <w:b/>
                <w:bCs/>
                <w:sz w:val="20"/>
                <w:szCs w:val="20"/>
              </w:rPr>
            </w:pPr>
          </w:p>
        </w:tc>
        <w:tc>
          <w:tcPr>
            <w:tcW w:w="3827" w:type="dxa"/>
            <w:tcBorders>
              <w:top w:val="nil"/>
              <w:left w:val="nil"/>
              <w:bottom w:val="nil"/>
              <w:right w:val="single" w:sz="4" w:space="0" w:color="auto"/>
            </w:tcBorders>
            <w:shd w:val="clear" w:color="auto" w:fill="auto"/>
            <w:vAlign w:val="center"/>
            <w:hideMark/>
          </w:tcPr>
          <w:p w14:paraId="28055112" w14:textId="77777777" w:rsidR="00CC7FDA" w:rsidRDefault="00CC7FDA" w:rsidP="00CC7FDA">
            <w:pPr>
              <w:jc w:val="center"/>
              <w:rPr>
                <w:sz w:val="20"/>
                <w:szCs w:val="20"/>
              </w:rPr>
            </w:pPr>
            <w:r>
              <w:rPr>
                <w:sz w:val="20"/>
                <w:szCs w:val="20"/>
              </w:rPr>
              <w:t>11.720</w:t>
            </w:r>
          </w:p>
        </w:tc>
      </w:tr>
      <w:tr w:rsidR="00CC7FDA" w14:paraId="3A1AA662" w14:textId="77777777" w:rsidTr="00CC7FDA">
        <w:trPr>
          <w:trHeight w:val="255"/>
        </w:trPr>
        <w:tc>
          <w:tcPr>
            <w:tcW w:w="3823" w:type="dxa"/>
            <w:tcBorders>
              <w:top w:val="nil"/>
              <w:left w:val="single" w:sz="4" w:space="0" w:color="auto"/>
              <w:bottom w:val="nil"/>
              <w:right w:val="nil"/>
            </w:tcBorders>
            <w:shd w:val="clear" w:color="auto" w:fill="auto"/>
            <w:vAlign w:val="center"/>
            <w:hideMark/>
          </w:tcPr>
          <w:p w14:paraId="02D11A76" w14:textId="77777777" w:rsidR="00CC7FDA" w:rsidRDefault="00CC7FDA">
            <w:pPr>
              <w:jc w:val="both"/>
              <w:rPr>
                <w:b/>
                <w:bCs/>
                <w:sz w:val="20"/>
                <w:szCs w:val="20"/>
              </w:rPr>
            </w:pPr>
            <w:r>
              <w:rPr>
                <w:b/>
                <w:bCs/>
                <w:sz w:val="20"/>
                <w:szCs w:val="20"/>
              </w:rPr>
              <w:t>(svalutazione da impairment test)</w:t>
            </w:r>
          </w:p>
        </w:tc>
        <w:tc>
          <w:tcPr>
            <w:tcW w:w="992" w:type="dxa"/>
            <w:tcBorders>
              <w:top w:val="nil"/>
              <w:left w:val="nil"/>
              <w:bottom w:val="nil"/>
              <w:right w:val="nil"/>
            </w:tcBorders>
            <w:shd w:val="clear" w:color="auto" w:fill="auto"/>
            <w:vAlign w:val="center"/>
            <w:hideMark/>
          </w:tcPr>
          <w:p w14:paraId="2AF0E115" w14:textId="77777777" w:rsidR="00CC7FDA" w:rsidRDefault="00CC7FDA">
            <w:pPr>
              <w:jc w:val="both"/>
              <w:rPr>
                <w:b/>
                <w:bCs/>
                <w:sz w:val="20"/>
                <w:szCs w:val="20"/>
              </w:rPr>
            </w:pPr>
          </w:p>
        </w:tc>
        <w:tc>
          <w:tcPr>
            <w:tcW w:w="3827" w:type="dxa"/>
            <w:tcBorders>
              <w:top w:val="nil"/>
              <w:left w:val="nil"/>
              <w:bottom w:val="nil"/>
              <w:right w:val="single" w:sz="4" w:space="0" w:color="auto"/>
            </w:tcBorders>
            <w:shd w:val="clear" w:color="auto" w:fill="auto"/>
            <w:vAlign w:val="center"/>
            <w:hideMark/>
          </w:tcPr>
          <w:p w14:paraId="75F7AFA8" w14:textId="77777777" w:rsidR="00CC7FDA" w:rsidRDefault="00CC7FDA" w:rsidP="00CC7FDA">
            <w:pPr>
              <w:jc w:val="center"/>
              <w:rPr>
                <w:sz w:val="20"/>
                <w:szCs w:val="20"/>
              </w:rPr>
            </w:pPr>
            <w:r>
              <w:rPr>
                <w:sz w:val="20"/>
                <w:szCs w:val="20"/>
              </w:rPr>
              <w:t>-470</w:t>
            </w:r>
          </w:p>
        </w:tc>
      </w:tr>
      <w:tr w:rsidR="00CC7FDA" w14:paraId="30D9C5C9" w14:textId="77777777" w:rsidTr="00CC7FDA">
        <w:trPr>
          <w:trHeight w:val="255"/>
        </w:trPr>
        <w:tc>
          <w:tcPr>
            <w:tcW w:w="3823" w:type="dxa"/>
            <w:tcBorders>
              <w:top w:val="nil"/>
              <w:left w:val="single" w:sz="4" w:space="0" w:color="auto"/>
              <w:bottom w:val="nil"/>
              <w:right w:val="nil"/>
            </w:tcBorders>
            <w:shd w:val="clear" w:color="auto" w:fill="auto"/>
            <w:vAlign w:val="center"/>
            <w:hideMark/>
          </w:tcPr>
          <w:p w14:paraId="2B6DDC3D" w14:textId="77777777" w:rsidR="00CC7FDA" w:rsidRDefault="00CC7FDA">
            <w:pPr>
              <w:jc w:val="both"/>
              <w:rPr>
                <w:b/>
                <w:bCs/>
                <w:sz w:val="20"/>
                <w:szCs w:val="20"/>
              </w:rPr>
            </w:pPr>
            <w:r>
              <w:rPr>
                <w:b/>
                <w:bCs/>
                <w:sz w:val="20"/>
                <w:szCs w:val="20"/>
              </w:rPr>
              <w:t>3. Attrezzature ind.li e comm.li</w:t>
            </w:r>
          </w:p>
        </w:tc>
        <w:tc>
          <w:tcPr>
            <w:tcW w:w="992" w:type="dxa"/>
            <w:tcBorders>
              <w:top w:val="nil"/>
              <w:left w:val="nil"/>
              <w:bottom w:val="nil"/>
              <w:right w:val="nil"/>
            </w:tcBorders>
            <w:shd w:val="clear" w:color="auto" w:fill="auto"/>
            <w:vAlign w:val="center"/>
            <w:hideMark/>
          </w:tcPr>
          <w:p w14:paraId="30A6D372" w14:textId="77777777" w:rsidR="00CC7FDA" w:rsidRDefault="00CC7FDA">
            <w:pPr>
              <w:jc w:val="both"/>
              <w:rPr>
                <w:b/>
                <w:bCs/>
                <w:sz w:val="20"/>
                <w:szCs w:val="20"/>
              </w:rPr>
            </w:pPr>
          </w:p>
        </w:tc>
        <w:tc>
          <w:tcPr>
            <w:tcW w:w="3827" w:type="dxa"/>
            <w:tcBorders>
              <w:top w:val="nil"/>
              <w:left w:val="nil"/>
              <w:bottom w:val="nil"/>
              <w:right w:val="single" w:sz="4" w:space="0" w:color="auto"/>
            </w:tcBorders>
            <w:shd w:val="clear" w:color="auto" w:fill="auto"/>
            <w:vAlign w:val="center"/>
            <w:hideMark/>
          </w:tcPr>
          <w:p w14:paraId="0B0A9A9A" w14:textId="77777777" w:rsidR="00CC7FDA" w:rsidRDefault="00CC7FDA" w:rsidP="00CC7FDA">
            <w:pPr>
              <w:jc w:val="center"/>
              <w:rPr>
                <w:sz w:val="20"/>
                <w:szCs w:val="20"/>
              </w:rPr>
            </w:pPr>
            <w:r>
              <w:rPr>
                <w:sz w:val="20"/>
                <w:szCs w:val="20"/>
              </w:rPr>
              <w:t>546</w:t>
            </w:r>
          </w:p>
        </w:tc>
      </w:tr>
      <w:tr w:rsidR="00CC7FDA" w14:paraId="64D9F3D4" w14:textId="77777777" w:rsidTr="00CC7FDA">
        <w:trPr>
          <w:trHeight w:val="255"/>
        </w:trPr>
        <w:tc>
          <w:tcPr>
            <w:tcW w:w="3823" w:type="dxa"/>
            <w:tcBorders>
              <w:top w:val="nil"/>
              <w:left w:val="single" w:sz="4" w:space="0" w:color="auto"/>
              <w:bottom w:val="nil"/>
              <w:right w:val="nil"/>
            </w:tcBorders>
            <w:shd w:val="clear" w:color="auto" w:fill="auto"/>
            <w:vAlign w:val="center"/>
            <w:hideMark/>
          </w:tcPr>
          <w:p w14:paraId="2D858092" w14:textId="77777777" w:rsidR="00CC7FDA" w:rsidRDefault="00CC7FDA">
            <w:pPr>
              <w:jc w:val="both"/>
              <w:rPr>
                <w:b/>
                <w:bCs/>
                <w:sz w:val="20"/>
                <w:szCs w:val="20"/>
              </w:rPr>
            </w:pPr>
            <w:r>
              <w:rPr>
                <w:b/>
                <w:bCs/>
                <w:sz w:val="20"/>
                <w:szCs w:val="20"/>
              </w:rPr>
              <w:t>(svalutazione da impairment test)</w:t>
            </w:r>
          </w:p>
        </w:tc>
        <w:tc>
          <w:tcPr>
            <w:tcW w:w="992" w:type="dxa"/>
            <w:tcBorders>
              <w:top w:val="nil"/>
              <w:left w:val="nil"/>
              <w:bottom w:val="nil"/>
              <w:right w:val="nil"/>
            </w:tcBorders>
            <w:shd w:val="clear" w:color="auto" w:fill="auto"/>
            <w:vAlign w:val="center"/>
            <w:hideMark/>
          </w:tcPr>
          <w:p w14:paraId="75A21EA1" w14:textId="77777777" w:rsidR="00CC7FDA" w:rsidRDefault="00CC7FDA">
            <w:pPr>
              <w:jc w:val="both"/>
              <w:rPr>
                <w:b/>
                <w:bCs/>
                <w:sz w:val="20"/>
                <w:szCs w:val="20"/>
              </w:rPr>
            </w:pPr>
          </w:p>
        </w:tc>
        <w:tc>
          <w:tcPr>
            <w:tcW w:w="3827" w:type="dxa"/>
            <w:tcBorders>
              <w:top w:val="nil"/>
              <w:left w:val="nil"/>
              <w:bottom w:val="nil"/>
              <w:right w:val="single" w:sz="4" w:space="0" w:color="auto"/>
            </w:tcBorders>
            <w:shd w:val="clear" w:color="auto" w:fill="auto"/>
            <w:vAlign w:val="center"/>
            <w:hideMark/>
          </w:tcPr>
          <w:p w14:paraId="677DEC2A" w14:textId="77777777" w:rsidR="00CC7FDA" w:rsidRDefault="00CC7FDA" w:rsidP="00CC7FDA">
            <w:pPr>
              <w:jc w:val="center"/>
              <w:rPr>
                <w:sz w:val="20"/>
                <w:szCs w:val="20"/>
              </w:rPr>
            </w:pPr>
            <w:r>
              <w:rPr>
                <w:sz w:val="20"/>
                <w:szCs w:val="20"/>
              </w:rPr>
              <w:t>-135</w:t>
            </w:r>
          </w:p>
        </w:tc>
      </w:tr>
      <w:tr w:rsidR="00CC7FDA" w14:paraId="20787582" w14:textId="77777777" w:rsidTr="00CC7FDA">
        <w:trPr>
          <w:trHeight w:val="255"/>
        </w:trPr>
        <w:tc>
          <w:tcPr>
            <w:tcW w:w="3823" w:type="dxa"/>
            <w:tcBorders>
              <w:top w:val="nil"/>
              <w:left w:val="single" w:sz="4" w:space="0" w:color="auto"/>
              <w:bottom w:val="nil"/>
              <w:right w:val="nil"/>
            </w:tcBorders>
            <w:shd w:val="clear" w:color="auto" w:fill="auto"/>
            <w:vAlign w:val="center"/>
            <w:hideMark/>
          </w:tcPr>
          <w:p w14:paraId="186BED6D" w14:textId="77777777" w:rsidR="00CC7FDA" w:rsidRDefault="00CC7FDA">
            <w:pPr>
              <w:jc w:val="both"/>
              <w:rPr>
                <w:b/>
                <w:bCs/>
                <w:sz w:val="20"/>
                <w:szCs w:val="20"/>
              </w:rPr>
            </w:pPr>
            <w:r>
              <w:rPr>
                <w:b/>
                <w:bCs/>
                <w:sz w:val="20"/>
                <w:szCs w:val="20"/>
              </w:rPr>
              <w:t>4. Immobilizzazioni in corso e acconti</w:t>
            </w:r>
          </w:p>
        </w:tc>
        <w:tc>
          <w:tcPr>
            <w:tcW w:w="992" w:type="dxa"/>
            <w:tcBorders>
              <w:top w:val="nil"/>
              <w:left w:val="nil"/>
              <w:bottom w:val="nil"/>
              <w:right w:val="nil"/>
            </w:tcBorders>
            <w:shd w:val="clear" w:color="auto" w:fill="auto"/>
            <w:vAlign w:val="center"/>
            <w:hideMark/>
          </w:tcPr>
          <w:p w14:paraId="7F80272A" w14:textId="77777777" w:rsidR="00CC7FDA" w:rsidRDefault="00CC7FDA">
            <w:pPr>
              <w:jc w:val="both"/>
              <w:rPr>
                <w:b/>
                <w:bCs/>
                <w:sz w:val="20"/>
                <w:szCs w:val="20"/>
              </w:rPr>
            </w:pPr>
          </w:p>
        </w:tc>
        <w:tc>
          <w:tcPr>
            <w:tcW w:w="3827" w:type="dxa"/>
            <w:tcBorders>
              <w:top w:val="nil"/>
              <w:left w:val="nil"/>
              <w:bottom w:val="nil"/>
              <w:right w:val="single" w:sz="4" w:space="0" w:color="auto"/>
            </w:tcBorders>
            <w:shd w:val="clear" w:color="auto" w:fill="auto"/>
            <w:vAlign w:val="center"/>
            <w:hideMark/>
          </w:tcPr>
          <w:p w14:paraId="726B7BC7" w14:textId="77777777" w:rsidR="00CC7FDA" w:rsidRDefault="00CC7FDA" w:rsidP="00CC7FDA">
            <w:pPr>
              <w:jc w:val="center"/>
              <w:rPr>
                <w:sz w:val="20"/>
                <w:szCs w:val="20"/>
              </w:rPr>
            </w:pPr>
            <w:r>
              <w:rPr>
                <w:sz w:val="20"/>
                <w:szCs w:val="20"/>
              </w:rPr>
              <w:t>231</w:t>
            </w:r>
          </w:p>
        </w:tc>
      </w:tr>
      <w:tr w:rsidR="00CC7FDA" w14:paraId="54F5D59E" w14:textId="77777777" w:rsidTr="00CC7FDA">
        <w:trPr>
          <w:trHeight w:val="255"/>
        </w:trPr>
        <w:tc>
          <w:tcPr>
            <w:tcW w:w="3823" w:type="dxa"/>
            <w:tcBorders>
              <w:top w:val="nil"/>
              <w:left w:val="single" w:sz="4" w:space="0" w:color="auto"/>
              <w:bottom w:val="nil"/>
              <w:right w:val="nil"/>
            </w:tcBorders>
            <w:shd w:val="clear" w:color="auto" w:fill="auto"/>
            <w:vAlign w:val="center"/>
            <w:hideMark/>
          </w:tcPr>
          <w:p w14:paraId="4840CB93" w14:textId="77777777" w:rsidR="00CC7FDA" w:rsidRDefault="00CC7FDA">
            <w:pPr>
              <w:jc w:val="both"/>
              <w:rPr>
                <w:b/>
                <w:bCs/>
                <w:sz w:val="20"/>
                <w:szCs w:val="20"/>
              </w:rPr>
            </w:pPr>
            <w:r>
              <w:rPr>
                <w:b/>
                <w:bCs/>
                <w:sz w:val="20"/>
                <w:szCs w:val="20"/>
              </w:rPr>
              <w:t> </w:t>
            </w:r>
          </w:p>
        </w:tc>
        <w:tc>
          <w:tcPr>
            <w:tcW w:w="992" w:type="dxa"/>
            <w:tcBorders>
              <w:top w:val="nil"/>
              <w:left w:val="nil"/>
              <w:bottom w:val="nil"/>
              <w:right w:val="nil"/>
            </w:tcBorders>
            <w:shd w:val="clear" w:color="auto" w:fill="auto"/>
            <w:vAlign w:val="center"/>
            <w:hideMark/>
          </w:tcPr>
          <w:p w14:paraId="78CEADF3" w14:textId="77777777" w:rsidR="00CC7FDA" w:rsidRDefault="00CC7FDA">
            <w:pPr>
              <w:jc w:val="both"/>
              <w:rPr>
                <w:b/>
                <w:bCs/>
                <w:sz w:val="20"/>
                <w:szCs w:val="20"/>
              </w:rPr>
            </w:pPr>
          </w:p>
        </w:tc>
        <w:tc>
          <w:tcPr>
            <w:tcW w:w="3827" w:type="dxa"/>
            <w:tcBorders>
              <w:top w:val="nil"/>
              <w:left w:val="nil"/>
              <w:bottom w:val="nil"/>
              <w:right w:val="single" w:sz="4" w:space="0" w:color="auto"/>
            </w:tcBorders>
            <w:shd w:val="clear" w:color="auto" w:fill="auto"/>
            <w:vAlign w:val="center"/>
            <w:hideMark/>
          </w:tcPr>
          <w:p w14:paraId="2BF44488" w14:textId="77777777" w:rsidR="00CC7FDA" w:rsidRDefault="00CC7FDA" w:rsidP="00CC7FDA">
            <w:pPr>
              <w:jc w:val="center"/>
              <w:rPr>
                <w:sz w:val="20"/>
                <w:szCs w:val="20"/>
              </w:rPr>
            </w:pPr>
          </w:p>
        </w:tc>
      </w:tr>
      <w:tr w:rsidR="00CC7FDA" w14:paraId="04E221CF" w14:textId="77777777" w:rsidTr="00CC7FDA">
        <w:trPr>
          <w:trHeight w:val="255"/>
        </w:trPr>
        <w:tc>
          <w:tcPr>
            <w:tcW w:w="3823" w:type="dxa"/>
            <w:tcBorders>
              <w:top w:val="nil"/>
              <w:left w:val="single" w:sz="4" w:space="0" w:color="auto"/>
              <w:bottom w:val="single" w:sz="4" w:space="0" w:color="auto"/>
              <w:right w:val="nil"/>
            </w:tcBorders>
            <w:shd w:val="clear" w:color="auto" w:fill="auto"/>
            <w:vAlign w:val="center"/>
            <w:hideMark/>
          </w:tcPr>
          <w:p w14:paraId="761101C9" w14:textId="77777777" w:rsidR="00CC7FDA" w:rsidRDefault="00CC7FDA">
            <w:pPr>
              <w:jc w:val="both"/>
              <w:rPr>
                <w:b/>
                <w:bCs/>
                <w:sz w:val="20"/>
                <w:szCs w:val="20"/>
              </w:rPr>
            </w:pPr>
            <w:r>
              <w:rPr>
                <w:b/>
                <w:bCs/>
                <w:sz w:val="20"/>
                <w:szCs w:val="20"/>
              </w:rPr>
              <w:t>TOTALE</w:t>
            </w:r>
          </w:p>
        </w:tc>
        <w:tc>
          <w:tcPr>
            <w:tcW w:w="992" w:type="dxa"/>
            <w:tcBorders>
              <w:top w:val="nil"/>
              <w:left w:val="nil"/>
              <w:bottom w:val="single" w:sz="4" w:space="0" w:color="auto"/>
              <w:right w:val="nil"/>
            </w:tcBorders>
            <w:shd w:val="clear" w:color="auto" w:fill="auto"/>
            <w:vAlign w:val="center"/>
            <w:hideMark/>
          </w:tcPr>
          <w:p w14:paraId="057E71BC" w14:textId="77777777" w:rsidR="00CC7FDA" w:rsidRDefault="00CC7FDA">
            <w:pPr>
              <w:jc w:val="both"/>
              <w:rPr>
                <w:sz w:val="20"/>
                <w:szCs w:val="20"/>
              </w:rPr>
            </w:pPr>
            <w:r>
              <w:rPr>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14:paraId="5EDDFA8F" w14:textId="77777777" w:rsidR="00CC7FDA" w:rsidRDefault="00CC7FDA" w:rsidP="00CC7FDA">
            <w:pPr>
              <w:jc w:val="center"/>
              <w:rPr>
                <w:b/>
                <w:bCs/>
                <w:sz w:val="20"/>
                <w:szCs w:val="20"/>
              </w:rPr>
            </w:pPr>
            <w:r>
              <w:rPr>
                <w:b/>
                <w:bCs/>
                <w:sz w:val="20"/>
                <w:szCs w:val="20"/>
              </w:rPr>
              <w:t>29.508</w:t>
            </w:r>
          </w:p>
        </w:tc>
      </w:tr>
    </w:tbl>
    <w:p w14:paraId="7237BE37" w14:textId="77777777" w:rsidR="00FA68F4" w:rsidRDefault="00FA68F4" w:rsidP="005E7669">
      <w:pPr>
        <w:widowControl w:val="0"/>
        <w:ind w:right="1"/>
        <w:jc w:val="both"/>
        <w:rPr>
          <w:rFonts w:ascii="Arial" w:hAnsi="Arial" w:cs="Arial"/>
          <w:bCs/>
          <w:color w:val="000000"/>
          <w:sz w:val="20"/>
        </w:rPr>
      </w:pPr>
    </w:p>
    <w:p w14:paraId="5F8930C6" w14:textId="08003A58" w:rsidR="005E7669" w:rsidRPr="005E7669" w:rsidRDefault="005E7669" w:rsidP="005E7669">
      <w:pPr>
        <w:widowControl w:val="0"/>
        <w:ind w:right="1"/>
        <w:jc w:val="both"/>
        <w:rPr>
          <w:rFonts w:ascii="Arial" w:hAnsi="Arial" w:cs="Arial"/>
          <w:bCs/>
          <w:color w:val="000000"/>
          <w:sz w:val="20"/>
        </w:rPr>
      </w:pPr>
      <w:r w:rsidRPr="005E7669">
        <w:rPr>
          <w:rFonts w:ascii="Arial" w:hAnsi="Arial" w:cs="Arial"/>
          <w:bCs/>
          <w:color w:val="000000"/>
          <w:sz w:val="20"/>
        </w:rPr>
        <w:t xml:space="preserve">In sede di chiusura di bilancio 2019 </w:t>
      </w:r>
      <w:r w:rsidR="00FA68F4">
        <w:rPr>
          <w:rFonts w:ascii="Arial" w:hAnsi="Arial" w:cs="Arial"/>
          <w:bCs/>
          <w:color w:val="000000"/>
          <w:sz w:val="20"/>
        </w:rPr>
        <w:t>s</w:t>
      </w:r>
      <w:r w:rsidR="00693B59">
        <w:rPr>
          <w:rFonts w:ascii="Arial" w:hAnsi="Arial" w:cs="Arial"/>
          <w:bCs/>
          <w:color w:val="000000"/>
          <w:sz w:val="20"/>
        </w:rPr>
        <w:t>i</w:t>
      </w:r>
      <w:r>
        <w:rPr>
          <w:rFonts w:ascii="Arial" w:hAnsi="Arial" w:cs="Arial"/>
          <w:bCs/>
          <w:color w:val="000000"/>
          <w:sz w:val="20"/>
        </w:rPr>
        <w:t xml:space="preserve"> è </w:t>
      </w:r>
      <w:r w:rsidRPr="005E7669">
        <w:rPr>
          <w:rFonts w:ascii="Arial" w:hAnsi="Arial" w:cs="Arial"/>
          <w:bCs/>
          <w:color w:val="000000"/>
          <w:sz w:val="20"/>
        </w:rPr>
        <w:t>provveduto alla valutazione della recuperabilità delle immobilizzazioni materiali detenute, come già descritto al paragrafo immobilizzazioni immateriali.</w:t>
      </w:r>
    </w:p>
    <w:p w14:paraId="2D21123E" w14:textId="61310312" w:rsidR="005E7669" w:rsidRPr="005E7669" w:rsidRDefault="005E7669" w:rsidP="005E7669">
      <w:pPr>
        <w:widowControl w:val="0"/>
        <w:spacing w:before="120"/>
        <w:jc w:val="both"/>
        <w:rPr>
          <w:rFonts w:ascii="Arial" w:hAnsi="Arial" w:cs="Arial"/>
          <w:bCs/>
          <w:color w:val="000000"/>
          <w:sz w:val="20"/>
        </w:rPr>
      </w:pPr>
      <w:r w:rsidRPr="005E7669">
        <w:rPr>
          <w:rFonts w:ascii="Arial" w:hAnsi="Arial" w:cs="Arial"/>
          <w:bCs/>
          <w:color w:val="000000"/>
          <w:sz w:val="20"/>
        </w:rPr>
        <w:t xml:space="preserve">Da tale analisi, che, in coerenza con le indicazioni dell’OIC non contempla gli eventuali effetti della pandemia Covid 19, non sono emersi indicatori di ulteriori perdite durevoli di valore rispetto alle svalutazioni già adoperate negli anni precedenti. Tuttavia, sulla base di una prima simulazione degli impatti della pandemia non è da escludere che </w:t>
      </w:r>
      <w:r w:rsidR="002A4703">
        <w:rPr>
          <w:rFonts w:ascii="Arial" w:hAnsi="Arial" w:cs="Arial"/>
          <w:bCs/>
          <w:color w:val="000000"/>
          <w:sz w:val="20"/>
        </w:rPr>
        <w:t xml:space="preserve">il Gruppo </w:t>
      </w:r>
      <w:r w:rsidRPr="005E7669">
        <w:rPr>
          <w:rFonts w:ascii="Arial" w:hAnsi="Arial" w:cs="Arial"/>
          <w:bCs/>
          <w:color w:val="000000"/>
          <w:sz w:val="20"/>
        </w:rPr>
        <w:t>debba procedere a forte svalutazioni negli esercizi futuri.</w:t>
      </w:r>
    </w:p>
    <w:p w14:paraId="68C5A718" w14:textId="304FC399" w:rsidR="00DD6555" w:rsidRDefault="00DD6555" w:rsidP="00542423">
      <w:pPr>
        <w:widowControl w:val="0"/>
        <w:spacing w:before="120"/>
        <w:jc w:val="both"/>
        <w:rPr>
          <w:rFonts w:ascii="Arial" w:hAnsi="Arial" w:cs="Arial"/>
          <w:sz w:val="20"/>
        </w:rPr>
      </w:pPr>
      <w:r w:rsidRPr="00542423">
        <w:rPr>
          <w:rFonts w:ascii="Arial" w:hAnsi="Arial" w:cs="Arial"/>
          <w:sz w:val="20"/>
        </w:rPr>
        <w:t xml:space="preserve">Per quanto riguarda la Napoli Holding, la </w:t>
      </w:r>
      <w:r w:rsidR="001E0FA2">
        <w:rPr>
          <w:rFonts w:ascii="Arial" w:hAnsi="Arial" w:cs="Arial"/>
          <w:sz w:val="20"/>
        </w:rPr>
        <w:t xml:space="preserve">sola </w:t>
      </w:r>
      <w:r w:rsidR="002A4703">
        <w:rPr>
          <w:rFonts w:ascii="Arial" w:hAnsi="Arial" w:cs="Arial"/>
          <w:sz w:val="20"/>
        </w:rPr>
        <w:t>s</w:t>
      </w:r>
      <w:r w:rsidRPr="00542423">
        <w:rPr>
          <w:rFonts w:ascii="Arial" w:hAnsi="Arial" w:cs="Arial"/>
          <w:sz w:val="20"/>
        </w:rPr>
        <w:t>ocietà</w:t>
      </w:r>
      <w:r w:rsidR="002A4703">
        <w:rPr>
          <w:rFonts w:ascii="Arial" w:hAnsi="Arial" w:cs="Arial"/>
          <w:sz w:val="20"/>
        </w:rPr>
        <w:t xml:space="preserve"> Capogruppo</w:t>
      </w:r>
      <w:r w:rsidR="005E7669">
        <w:rPr>
          <w:rFonts w:ascii="Arial" w:hAnsi="Arial" w:cs="Arial"/>
          <w:sz w:val="20"/>
        </w:rPr>
        <w:t>,</w:t>
      </w:r>
      <w:r w:rsidRPr="00542423">
        <w:rPr>
          <w:rFonts w:ascii="Arial" w:hAnsi="Arial" w:cs="Arial"/>
          <w:sz w:val="20"/>
        </w:rPr>
        <w:t xml:space="preserve"> </w:t>
      </w:r>
      <w:r w:rsidR="00542423">
        <w:rPr>
          <w:rFonts w:ascii="Arial" w:hAnsi="Arial" w:cs="Arial"/>
          <w:sz w:val="20"/>
        </w:rPr>
        <w:t>a tutto il 31.12.2016</w:t>
      </w:r>
      <w:r w:rsidR="005E7669">
        <w:rPr>
          <w:rFonts w:ascii="Arial" w:hAnsi="Arial" w:cs="Arial"/>
          <w:sz w:val="20"/>
        </w:rPr>
        <w:t>,</w:t>
      </w:r>
      <w:r w:rsidR="00542423">
        <w:rPr>
          <w:rFonts w:ascii="Arial" w:hAnsi="Arial" w:cs="Arial"/>
          <w:sz w:val="20"/>
        </w:rPr>
        <w:t xml:space="preserve"> aveva </w:t>
      </w:r>
      <w:r w:rsidRPr="00542423">
        <w:rPr>
          <w:rFonts w:ascii="Arial" w:hAnsi="Arial" w:cs="Arial"/>
          <w:sz w:val="20"/>
        </w:rPr>
        <w:t>proceduto, in via del tutto pr</w:t>
      </w:r>
      <w:r w:rsidR="00542423">
        <w:rPr>
          <w:rFonts w:ascii="Arial" w:hAnsi="Arial" w:cs="Arial"/>
          <w:sz w:val="20"/>
        </w:rPr>
        <w:t xml:space="preserve">udenziale, </w:t>
      </w:r>
      <w:r w:rsidRPr="00542423">
        <w:rPr>
          <w:rFonts w:ascii="Arial" w:hAnsi="Arial" w:cs="Arial"/>
          <w:sz w:val="20"/>
        </w:rPr>
        <w:t xml:space="preserve">alla svalutazione dell’immobile di proprietà sito in Via Ponte dei Francesi, determinandone il valore di mercato </w:t>
      </w:r>
      <w:r w:rsidR="005E7669" w:rsidRPr="00542423">
        <w:rPr>
          <w:rFonts w:ascii="Arial" w:hAnsi="Arial" w:cs="Arial"/>
          <w:sz w:val="20"/>
        </w:rPr>
        <w:t>in euro</w:t>
      </w:r>
      <w:r w:rsidRPr="00542423">
        <w:rPr>
          <w:rFonts w:ascii="Arial" w:hAnsi="Arial" w:cs="Arial"/>
          <w:sz w:val="20"/>
        </w:rPr>
        <w:t xml:space="preserve"> 700.000.</w:t>
      </w:r>
    </w:p>
    <w:p w14:paraId="01A82401" w14:textId="77777777" w:rsidR="00542423" w:rsidRPr="00542423" w:rsidRDefault="00542423" w:rsidP="00542423">
      <w:pPr>
        <w:widowControl w:val="0"/>
        <w:spacing w:before="120"/>
        <w:jc w:val="both"/>
        <w:rPr>
          <w:rFonts w:ascii="Arial" w:hAnsi="Arial" w:cs="Arial"/>
          <w:sz w:val="20"/>
        </w:rPr>
      </w:pPr>
      <w:r w:rsidRPr="00542423">
        <w:rPr>
          <w:rFonts w:ascii="Arial" w:hAnsi="Arial" w:cs="Arial"/>
          <w:sz w:val="20"/>
        </w:rPr>
        <w:t>I saldi dei costi storici e dei fondi di ammortamento, nonché dei rispettivi incrementi, sono inclusivi anche degli assets</w:t>
      </w:r>
      <w:r>
        <w:rPr>
          <w:rFonts w:ascii="Arial" w:hAnsi="Arial" w:cs="Arial"/>
          <w:sz w:val="20"/>
        </w:rPr>
        <w:t xml:space="preserve"> </w:t>
      </w:r>
      <w:r w:rsidRPr="00542423">
        <w:rPr>
          <w:rFonts w:ascii="Arial" w:hAnsi="Arial" w:cs="Arial"/>
          <w:sz w:val="20"/>
        </w:rPr>
        <w:t>derivanti dalla acquisizione della gestione ramo sosta; ulteriori dettagli saranno forniti nelle successive analisi delle singole</w:t>
      </w:r>
      <w:r>
        <w:rPr>
          <w:rFonts w:ascii="Arial" w:hAnsi="Arial" w:cs="Arial"/>
          <w:sz w:val="20"/>
        </w:rPr>
        <w:t xml:space="preserve"> </w:t>
      </w:r>
      <w:r w:rsidRPr="00542423">
        <w:rPr>
          <w:rFonts w:ascii="Arial" w:hAnsi="Arial" w:cs="Arial"/>
          <w:sz w:val="20"/>
        </w:rPr>
        <w:t>classi di immobilizzazioni.</w:t>
      </w:r>
    </w:p>
    <w:p w14:paraId="2A79FD80" w14:textId="77777777" w:rsidR="00B941D2" w:rsidRPr="00542423" w:rsidRDefault="003621A3" w:rsidP="001223E5">
      <w:pPr>
        <w:widowControl w:val="0"/>
        <w:spacing w:before="120" w:after="120"/>
        <w:jc w:val="both"/>
        <w:rPr>
          <w:rFonts w:ascii="Arial" w:hAnsi="Arial" w:cs="Arial"/>
          <w:b/>
          <w:sz w:val="20"/>
        </w:rPr>
      </w:pPr>
      <w:r w:rsidRPr="00542423">
        <w:rPr>
          <w:rFonts w:ascii="Arial" w:hAnsi="Arial" w:cs="Arial"/>
          <w:b/>
          <w:sz w:val="20"/>
        </w:rPr>
        <w:t xml:space="preserve">Terreni e </w:t>
      </w:r>
      <w:r w:rsidR="00EE4AF0" w:rsidRPr="00542423">
        <w:rPr>
          <w:rFonts w:ascii="Arial" w:hAnsi="Arial" w:cs="Arial"/>
          <w:b/>
          <w:sz w:val="20"/>
        </w:rPr>
        <w:t>Fabbricati</w:t>
      </w:r>
    </w:p>
    <w:p w14:paraId="24FEE7C0" w14:textId="77777777" w:rsidR="00542423" w:rsidRPr="00542423" w:rsidRDefault="00397A40" w:rsidP="00542423">
      <w:pPr>
        <w:widowControl w:val="0"/>
        <w:ind w:right="1"/>
        <w:jc w:val="both"/>
        <w:rPr>
          <w:rFonts w:ascii="Arial" w:hAnsi="Arial" w:cs="Arial"/>
          <w:sz w:val="20"/>
        </w:rPr>
      </w:pPr>
      <w:r>
        <w:rPr>
          <w:rFonts w:ascii="Arial" w:hAnsi="Arial" w:cs="Arial"/>
          <w:sz w:val="20"/>
        </w:rPr>
        <w:t xml:space="preserve">Nel 2017 la voce si era </w:t>
      </w:r>
      <w:r w:rsidR="00542423" w:rsidRPr="00542423">
        <w:rPr>
          <w:rFonts w:ascii="Arial" w:hAnsi="Arial" w:cs="Arial"/>
          <w:sz w:val="20"/>
        </w:rPr>
        <w:t>incrementata di 9.952 €/000 relativi al valore di perizia del complesso immobiliare "Parcheggio Brin",</w:t>
      </w:r>
      <w:r w:rsidR="00542423">
        <w:rPr>
          <w:rFonts w:ascii="Arial" w:hAnsi="Arial" w:cs="Arial"/>
          <w:sz w:val="20"/>
        </w:rPr>
        <w:t xml:space="preserve"> </w:t>
      </w:r>
      <w:r w:rsidR="00542423" w:rsidRPr="00542423">
        <w:rPr>
          <w:rFonts w:ascii="Arial" w:hAnsi="Arial" w:cs="Arial"/>
          <w:sz w:val="20"/>
        </w:rPr>
        <w:t>conferito dal Comune di Napoli alla società nell'assemblea straordinaria del 27 aprile 2017. La voce è inoltre riferita al costo di acquisizione di un fabbricato industriale sito alla via Galileo Ferraris di</w:t>
      </w:r>
      <w:r w:rsidR="00542423">
        <w:rPr>
          <w:rFonts w:ascii="Arial" w:hAnsi="Arial" w:cs="Arial"/>
          <w:sz w:val="20"/>
        </w:rPr>
        <w:t xml:space="preserve"> </w:t>
      </w:r>
      <w:r w:rsidR="00542423" w:rsidRPr="00542423">
        <w:rPr>
          <w:rFonts w:ascii="Arial" w:hAnsi="Arial" w:cs="Arial"/>
          <w:sz w:val="20"/>
        </w:rPr>
        <w:t>Napoli, adibito a officina di manutenzione autobus del valore iniziale di 5.974 €/000, incrementato di 1.585 €/000 per</w:t>
      </w:r>
      <w:r w:rsidR="00542423">
        <w:rPr>
          <w:rFonts w:ascii="Arial" w:hAnsi="Arial" w:cs="Arial"/>
          <w:sz w:val="20"/>
        </w:rPr>
        <w:t xml:space="preserve"> </w:t>
      </w:r>
      <w:r w:rsidR="00542423" w:rsidRPr="00542423">
        <w:rPr>
          <w:rFonts w:ascii="Arial" w:hAnsi="Arial" w:cs="Arial"/>
          <w:sz w:val="20"/>
        </w:rPr>
        <w:t>impianti e beni mobili con esso acquisiti e di cui alle voci di competenza. In applicazione del DLgs 223/2006, il 30% del</w:t>
      </w:r>
      <w:r w:rsidR="00542423">
        <w:rPr>
          <w:rFonts w:ascii="Arial" w:hAnsi="Arial" w:cs="Arial"/>
          <w:sz w:val="20"/>
        </w:rPr>
        <w:t xml:space="preserve"> </w:t>
      </w:r>
      <w:r w:rsidR="00542423" w:rsidRPr="00542423">
        <w:rPr>
          <w:rFonts w:ascii="Arial" w:hAnsi="Arial" w:cs="Arial"/>
          <w:sz w:val="20"/>
        </w:rPr>
        <w:t>valore degli ammortamenti, pari ad 72 €/000, calcolato sul costo storico del fabbricato industriale in oggetto, è stato sempre</w:t>
      </w:r>
      <w:r w:rsidR="00542423">
        <w:rPr>
          <w:rFonts w:ascii="Arial" w:hAnsi="Arial" w:cs="Arial"/>
          <w:sz w:val="20"/>
        </w:rPr>
        <w:t xml:space="preserve"> </w:t>
      </w:r>
      <w:r w:rsidR="00542423" w:rsidRPr="00542423">
        <w:rPr>
          <w:rFonts w:ascii="Arial" w:hAnsi="Arial" w:cs="Arial"/>
          <w:sz w:val="20"/>
        </w:rPr>
        <w:t>considerato fiscalmente non deducibile e come tale fiscalmente ripreso mediante una variazione in diminuzione dei costi. In</w:t>
      </w:r>
      <w:r w:rsidR="00542423">
        <w:rPr>
          <w:rFonts w:ascii="Arial" w:hAnsi="Arial" w:cs="Arial"/>
          <w:sz w:val="20"/>
        </w:rPr>
        <w:t xml:space="preserve"> </w:t>
      </w:r>
      <w:r w:rsidR="00542423" w:rsidRPr="00542423">
        <w:rPr>
          <w:rFonts w:ascii="Arial" w:hAnsi="Arial" w:cs="Arial"/>
          <w:sz w:val="20"/>
        </w:rPr>
        <w:t xml:space="preserve">sede del presente bilancio la quota di valore attribuibile al terreno </w:t>
      </w:r>
      <w:r w:rsidR="00F4151C" w:rsidRPr="00542423">
        <w:rPr>
          <w:rFonts w:ascii="Arial" w:hAnsi="Arial" w:cs="Arial"/>
          <w:sz w:val="20"/>
        </w:rPr>
        <w:t>non è stata più ammortizzata</w:t>
      </w:r>
      <w:r w:rsidR="00542423" w:rsidRPr="00542423">
        <w:rPr>
          <w:rFonts w:ascii="Arial" w:hAnsi="Arial" w:cs="Arial"/>
          <w:sz w:val="20"/>
        </w:rPr>
        <w:t>, come disposto dall'OIC 16.</w:t>
      </w:r>
    </w:p>
    <w:p w14:paraId="620D8455" w14:textId="77777777" w:rsidR="00542423" w:rsidRPr="00542423" w:rsidRDefault="00542423" w:rsidP="00542423">
      <w:pPr>
        <w:widowControl w:val="0"/>
        <w:spacing w:before="120" w:after="120"/>
        <w:jc w:val="both"/>
        <w:rPr>
          <w:rFonts w:ascii="Arial" w:hAnsi="Arial" w:cs="Arial"/>
          <w:sz w:val="20"/>
        </w:rPr>
      </w:pPr>
      <w:r w:rsidRPr="00542423">
        <w:rPr>
          <w:rFonts w:ascii="Arial" w:hAnsi="Arial" w:cs="Arial"/>
          <w:sz w:val="20"/>
        </w:rPr>
        <w:t>In tale posta è, inoltre, presente la voce "Fabbricati Civili", relativa alla sede acquistata dall'incorporata ex Metronapoli, sita</w:t>
      </w:r>
      <w:r>
        <w:rPr>
          <w:rFonts w:ascii="Arial" w:hAnsi="Arial" w:cs="Arial"/>
          <w:sz w:val="20"/>
        </w:rPr>
        <w:t xml:space="preserve"> </w:t>
      </w:r>
      <w:r w:rsidRPr="00542423">
        <w:rPr>
          <w:rFonts w:ascii="Arial" w:hAnsi="Arial" w:cs="Arial"/>
          <w:sz w:val="20"/>
        </w:rPr>
        <w:t>in Napoli, alla Via Ponte dei Francesi; il costo storico dell'immobile è pari €/000 5.861. Anche per tale fabbricato (ad uso</w:t>
      </w:r>
      <w:r>
        <w:rPr>
          <w:rFonts w:ascii="Arial" w:hAnsi="Arial" w:cs="Arial"/>
          <w:sz w:val="20"/>
        </w:rPr>
        <w:t xml:space="preserve"> </w:t>
      </w:r>
      <w:r w:rsidRPr="00542423">
        <w:rPr>
          <w:rFonts w:ascii="Arial" w:hAnsi="Arial" w:cs="Arial"/>
          <w:sz w:val="20"/>
        </w:rPr>
        <w:t>commerciale) la quota di valore attribuibile al terreno non è stato più ammortizzata, come disposto dall'OIC 16.</w:t>
      </w:r>
    </w:p>
    <w:p w14:paraId="3B9A8F54" w14:textId="77777777" w:rsidR="00542423" w:rsidRPr="00542423" w:rsidRDefault="00542423" w:rsidP="00542423">
      <w:pPr>
        <w:widowControl w:val="0"/>
        <w:ind w:right="1"/>
        <w:jc w:val="both"/>
        <w:rPr>
          <w:rFonts w:ascii="Arial" w:hAnsi="Arial" w:cs="Arial"/>
          <w:sz w:val="20"/>
        </w:rPr>
      </w:pPr>
      <w:r w:rsidRPr="00542423">
        <w:rPr>
          <w:rFonts w:ascii="Arial" w:hAnsi="Arial" w:cs="Arial"/>
          <w:sz w:val="20"/>
        </w:rPr>
        <w:t>Entrambi i fabbricati sono stati concessi in affitto alla società Asia S.p.A. e per un periodo di 6 anni a partire dal 2015. Il</w:t>
      </w:r>
      <w:r>
        <w:rPr>
          <w:rFonts w:ascii="Arial" w:hAnsi="Arial" w:cs="Arial"/>
          <w:sz w:val="20"/>
        </w:rPr>
        <w:t xml:space="preserve"> </w:t>
      </w:r>
      <w:r w:rsidRPr="00542423">
        <w:rPr>
          <w:rFonts w:ascii="Arial" w:hAnsi="Arial" w:cs="Arial"/>
          <w:sz w:val="20"/>
        </w:rPr>
        <w:t>valore dei terreni e fabbricati è stato confermato dalla perizia extragiudiziale per la stima del valore di mercato</w:t>
      </w:r>
      <w:r w:rsidR="00F4151C">
        <w:rPr>
          <w:rFonts w:ascii="Arial" w:hAnsi="Arial" w:cs="Arial"/>
          <w:sz w:val="20"/>
        </w:rPr>
        <w:t xml:space="preserve"> </w:t>
      </w:r>
      <w:r w:rsidRPr="00542423">
        <w:rPr>
          <w:rFonts w:ascii="Arial" w:hAnsi="Arial" w:cs="Arial"/>
          <w:sz w:val="20"/>
        </w:rPr>
        <w:t>redatta in data</w:t>
      </w:r>
      <w:r>
        <w:rPr>
          <w:rFonts w:ascii="Arial" w:hAnsi="Arial" w:cs="Arial"/>
          <w:sz w:val="20"/>
        </w:rPr>
        <w:t xml:space="preserve"> </w:t>
      </w:r>
      <w:r w:rsidRPr="00542423">
        <w:rPr>
          <w:rFonts w:ascii="Arial" w:hAnsi="Arial" w:cs="Arial"/>
          <w:sz w:val="20"/>
        </w:rPr>
        <w:t>15/06/2018 da parte dell'Ing. Cesare Solimene, nell'ambito della procedura di concordato.</w:t>
      </w:r>
      <w:r>
        <w:rPr>
          <w:rFonts w:ascii="Arial" w:hAnsi="Arial" w:cs="Arial"/>
          <w:sz w:val="20"/>
        </w:rPr>
        <w:t xml:space="preserve"> </w:t>
      </w:r>
      <w:r w:rsidR="00397A40" w:rsidRPr="00397A40">
        <w:rPr>
          <w:rFonts w:ascii="Arial" w:hAnsi="Arial" w:cs="Arial"/>
          <w:sz w:val="20"/>
        </w:rPr>
        <w:t xml:space="preserve">Il fondo ammortamento complessivo dei due fabbricati è pari ad </w:t>
      </w:r>
      <w:r w:rsidR="00766CC1" w:rsidRPr="00397A40">
        <w:rPr>
          <w:rFonts w:ascii="Arial" w:hAnsi="Arial" w:cs="Arial"/>
          <w:sz w:val="20"/>
        </w:rPr>
        <w:t>€/000</w:t>
      </w:r>
      <w:r w:rsidR="00766CC1">
        <w:rPr>
          <w:rFonts w:ascii="Arial" w:hAnsi="Arial" w:cs="Arial"/>
          <w:sz w:val="20"/>
        </w:rPr>
        <w:t xml:space="preserve"> </w:t>
      </w:r>
      <w:r w:rsidR="00F4151C">
        <w:rPr>
          <w:rFonts w:ascii="Arial" w:hAnsi="Arial" w:cs="Arial"/>
          <w:sz w:val="20"/>
        </w:rPr>
        <w:t>6.222</w:t>
      </w:r>
      <w:r w:rsidRPr="00542423">
        <w:rPr>
          <w:rFonts w:ascii="Arial" w:hAnsi="Arial" w:cs="Arial"/>
          <w:sz w:val="20"/>
        </w:rPr>
        <w:t>.</w:t>
      </w:r>
    </w:p>
    <w:p w14:paraId="33794E9A" w14:textId="77777777" w:rsidR="00542423" w:rsidRPr="00542423" w:rsidRDefault="00542423" w:rsidP="00542423">
      <w:pPr>
        <w:widowControl w:val="0"/>
        <w:spacing w:before="120" w:after="120"/>
        <w:jc w:val="both"/>
        <w:rPr>
          <w:rFonts w:ascii="Arial" w:hAnsi="Arial" w:cs="Arial"/>
          <w:sz w:val="20"/>
        </w:rPr>
      </w:pPr>
      <w:r w:rsidRPr="00542423">
        <w:rPr>
          <w:rFonts w:ascii="Arial" w:hAnsi="Arial" w:cs="Arial"/>
          <w:sz w:val="20"/>
        </w:rPr>
        <w:t>La voce comprende altresì investimenti per beni destinati ad uso industriale, nella particolare fattispecie "costruzioni</w:t>
      </w:r>
      <w:r>
        <w:rPr>
          <w:rFonts w:ascii="Arial" w:hAnsi="Arial" w:cs="Arial"/>
          <w:sz w:val="20"/>
        </w:rPr>
        <w:t xml:space="preserve"> </w:t>
      </w:r>
      <w:r w:rsidRPr="00542423">
        <w:rPr>
          <w:rFonts w:ascii="Arial" w:hAnsi="Arial" w:cs="Arial"/>
          <w:sz w:val="20"/>
        </w:rPr>
        <w:t xml:space="preserve">leggere". Il costo di acquisto è di 610 €/000 e il relativo fondo </w:t>
      </w:r>
      <w:r w:rsidRPr="00542423">
        <w:rPr>
          <w:rFonts w:ascii="Arial" w:hAnsi="Arial" w:cs="Arial"/>
          <w:sz w:val="20"/>
        </w:rPr>
        <w:lastRenderedPageBreak/>
        <w:t xml:space="preserve">ammortamento è pari a </w:t>
      </w:r>
      <w:r w:rsidR="00F4151C">
        <w:rPr>
          <w:rFonts w:ascii="Arial" w:hAnsi="Arial" w:cs="Arial"/>
          <w:sz w:val="20"/>
        </w:rPr>
        <w:t>572</w:t>
      </w:r>
      <w:r w:rsidRPr="00542423">
        <w:rPr>
          <w:rFonts w:ascii="Arial" w:hAnsi="Arial" w:cs="Arial"/>
          <w:sz w:val="20"/>
        </w:rPr>
        <w:t xml:space="preserve"> €/000.</w:t>
      </w:r>
      <w:r>
        <w:rPr>
          <w:rFonts w:ascii="Arial" w:hAnsi="Arial" w:cs="Arial"/>
          <w:sz w:val="20"/>
        </w:rPr>
        <w:t xml:space="preserve"> </w:t>
      </w:r>
    </w:p>
    <w:p w14:paraId="4FC92F8E" w14:textId="434F2CD6" w:rsidR="00DD6555" w:rsidRDefault="00DD6555" w:rsidP="001223E5">
      <w:pPr>
        <w:widowControl w:val="0"/>
        <w:ind w:right="1"/>
        <w:jc w:val="both"/>
        <w:rPr>
          <w:rFonts w:ascii="Arial" w:hAnsi="Arial" w:cs="Arial"/>
          <w:sz w:val="20"/>
        </w:rPr>
      </w:pPr>
      <w:r w:rsidRPr="00542423">
        <w:rPr>
          <w:rFonts w:ascii="Arial" w:hAnsi="Arial" w:cs="Arial"/>
          <w:sz w:val="20"/>
        </w:rPr>
        <w:t>Infine, la voce terreni e fabbricati comprende l’immobile acquistato dalla Napoli Holding nel 2008 e sito a Napoli alla Via Ponte dei Francesi</w:t>
      </w:r>
      <w:r w:rsidR="00F4151C">
        <w:rPr>
          <w:rFonts w:ascii="Arial" w:hAnsi="Arial" w:cs="Arial"/>
          <w:sz w:val="20"/>
        </w:rPr>
        <w:t xml:space="preserve">, </w:t>
      </w:r>
      <w:r w:rsidRPr="00542423">
        <w:rPr>
          <w:rFonts w:ascii="Arial" w:hAnsi="Arial" w:cs="Arial"/>
          <w:sz w:val="20"/>
        </w:rPr>
        <w:t>utilizzato come sede della società</w:t>
      </w:r>
      <w:r w:rsidR="002A4703">
        <w:rPr>
          <w:rFonts w:ascii="Arial" w:hAnsi="Arial" w:cs="Arial"/>
          <w:sz w:val="20"/>
        </w:rPr>
        <w:t xml:space="preserve"> Capogruppo</w:t>
      </w:r>
      <w:r w:rsidRPr="00542423">
        <w:rPr>
          <w:rFonts w:ascii="Arial" w:hAnsi="Arial" w:cs="Arial"/>
          <w:sz w:val="20"/>
        </w:rPr>
        <w:t xml:space="preserve"> fino a novembre 2012, per un costo storico di </w:t>
      </w:r>
      <w:r w:rsidR="00F4151C" w:rsidRPr="00542423">
        <w:rPr>
          <w:rFonts w:ascii="Arial" w:hAnsi="Arial" w:cs="Arial"/>
          <w:sz w:val="20"/>
        </w:rPr>
        <w:t>euro</w:t>
      </w:r>
      <w:r w:rsidRPr="00542423">
        <w:rPr>
          <w:rFonts w:ascii="Arial" w:hAnsi="Arial" w:cs="Arial"/>
          <w:sz w:val="20"/>
        </w:rPr>
        <w:t xml:space="preserve"> 2.704 mila, un fondo ammortamento di </w:t>
      </w:r>
      <w:r w:rsidR="00F4151C" w:rsidRPr="00542423">
        <w:rPr>
          <w:rFonts w:ascii="Arial" w:hAnsi="Arial" w:cs="Arial"/>
          <w:sz w:val="20"/>
        </w:rPr>
        <w:t>euro</w:t>
      </w:r>
      <w:r w:rsidRPr="00542423">
        <w:rPr>
          <w:rFonts w:ascii="Arial" w:hAnsi="Arial" w:cs="Arial"/>
          <w:sz w:val="20"/>
        </w:rPr>
        <w:t xml:space="preserve"> </w:t>
      </w:r>
      <w:r w:rsidR="00F4151C">
        <w:rPr>
          <w:rFonts w:ascii="Arial" w:hAnsi="Arial" w:cs="Arial"/>
          <w:sz w:val="20"/>
        </w:rPr>
        <w:t>933</w:t>
      </w:r>
      <w:r w:rsidRPr="00542423">
        <w:rPr>
          <w:rFonts w:ascii="Arial" w:hAnsi="Arial" w:cs="Arial"/>
          <w:sz w:val="20"/>
        </w:rPr>
        <w:t xml:space="preserve"> mila e svalutato nel 2016 per </w:t>
      </w:r>
      <w:r w:rsidR="00F4151C" w:rsidRPr="00542423">
        <w:rPr>
          <w:rFonts w:ascii="Arial" w:hAnsi="Arial" w:cs="Arial"/>
          <w:sz w:val="20"/>
        </w:rPr>
        <w:t>euro</w:t>
      </w:r>
      <w:r w:rsidRPr="00542423">
        <w:rPr>
          <w:rFonts w:ascii="Arial" w:hAnsi="Arial" w:cs="Arial"/>
          <w:sz w:val="20"/>
        </w:rPr>
        <w:t xml:space="preserve"> 1.314 mila.</w:t>
      </w:r>
    </w:p>
    <w:p w14:paraId="74322A9B" w14:textId="77777777" w:rsidR="00D31BEC" w:rsidRPr="00D31BEC" w:rsidRDefault="00D31BEC" w:rsidP="00D31BEC">
      <w:pPr>
        <w:widowControl w:val="0"/>
        <w:spacing w:before="120" w:after="120"/>
        <w:jc w:val="both"/>
        <w:rPr>
          <w:rFonts w:ascii="Arial" w:hAnsi="Arial" w:cs="Arial"/>
          <w:b/>
          <w:bCs/>
          <w:sz w:val="20"/>
        </w:rPr>
      </w:pPr>
      <w:r w:rsidRPr="00D31BEC">
        <w:rPr>
          <w:rFonts w:ascii="Arial" w:hAnsi="Arial" w:cs="Arial"/>
          <w:b/>
          <w:bCs/>
          <w:sz w:val="20"/>
        </w:rPr>
        <w:t>Impianti e macchinari</w:t>
      </w:r>
    </w:p>
    <w:p w14:paraId="43997C36" w14:textId="77777777" w:rsidR="00D31BEC" w:rsidRPr="00D31BEC" w:rsidRDefault="00D31BEC" w:rsidP="00D31BEC">
      <w:pPr>
        <w:widowControl w:val="0"/>
        <w:ind w:right="1"/>
        <w:jc w:val="both"/>
        <w:rPr>
          <w:rFonts w:ascii="Arial" w:hAnsi="Arial" w:cs="Arial"/>
          <w:sz w:val="20"/>
        </w:rPr>
      </w:pPr>
      <w:r w:rsidRPr="00D31BEC">
        <w:rPr>
          <w:rFonts w:ascii="Arial" w:hAnsi="Arial" w:cs="Arial"/>
          <w:sz w:val="20"/>
        </w:rPr>
        <w:t>In questa voce sono stati inclusi i beni che, congiuntamente alle attrezzature industriali di cui al punto B.II.2, concorrono</w:t>
      </w:r>
      <w:r>
        <w:rPr>
          <w:rFonts w:ascii="Arial" w:hAnsi="Arial" w:cs="Arial"/>
          <w:sz w:val="20"/>
        </w:rPr>
        <w:t xml:space="preserve"> </w:t>
      </w:r>
      <w:r w:rsidRPr="00D31BEC">
        <w:rPr>
          <w:rFonts w:ascii="Arial" w:hAnsi="Arial" w:cs="Arial"/>
          <w:sz w:val="20"/>
        </w:rPr>
        <w:t>direttamente (autobus, filobus e tram) e/o indirettamente (impianti, macchinari, obliteratrici) al processo produttivo tipico</w:t>
      </w:r>
      <w:r>
        <w:rPr>
          <w:rFonts w:ascii="Arial" w:hAnsi="Arial" w:cs="Arial"/>
          <w:sz w:val="20"/>
        </w:rPr>
        <w:t xml:space="preserve"> </w:t>
      </w:r>
      <w:r w:rsidRPr="00D31BEC">
        <w:rPr>
          <w:rFonts w:ascii="Arial" w:hAnsi="Arial" w:cs="Arial"/>
          <w:sz w:val="20"/>
        </w:rPr>
        <w:t>della società</w:t>
      </w:r>
      <w:r>
        <w:rPr>
          <w:rFonts w:ascii="Arial" w:hAnsi="Arial" w:cs="Arial"/>
          <w:sz w:val="20"/>
        </w:rPr>
        <w:t xml:space="preserve"> controllata</w:t>
      </w:r>
      <w:r w:rsidRPr="00D31BEC">
        <w:rPr>
          <w:rFonts w:ascii="Arial" w:hAnsi="Arial" w:cs="Arial"/>
          <w:sz w:val="20"/>
        </w:rPr>
        <w:t>.</w:t>
      </w:r>
    </w:p>
    <w:p w14:paraId="723EFFDA" w14:textId="05F753EA" w:rsidR="00FA68F4" w:rsidRPr="00FA68F4" w:rsidRDefault="00D31BEC" w:rsidP="00FA68F4">
      <w:pPr>
        <w:widowControl w:val="0"/>
        <w:spacing w:before="120" w:after="120"/>
        <w:jc w:val="both"/>
        <w:rPr>
          <w:rFonts w:ascii="Arial" w:hAnsi="Arial" w:cs="Arial"/>
          <w:sz w:val="20"/>
        </w:rPr>
      </w:pPr>
      <w:r w:rsidRPr="00D31BEC">
        <w:rPr>
          <w:rFonts w:ascii="Arial" w:hAnsi="Arial" w:cs="Arial"/>
          <w:sz w:val="20"/>
        </w:rPr>
        <w:t xml:space="preserve">In particolare, gli impianti sono stati distinti in impianti a seconda che concorrano </w:t>
      </w:r>
      <w:r w:rsidRPr="00D31BEC">
        <w:rPr>
          <w:rFonts w:ascii="Arial" w:hAnsi="Arial" w:cs="Arial"/>
          <w:b/>
          <w:bCs/>
          <w:sz w:val="20"/>
        </w:rPr>
        <w:t xml:space="preserve">generici e specifici, </w:t>
      </w:r>
      <w:r w:rsidRPr="00D31BEC">
        <w:rPr>
          <w:rFonts w:ascii="Arial" w:hAnsi="Arial" w:cs="Arial"/>
          <w:sz w:val="20"/>
        </w:rPr>
        <w:t>indistintamente e</w:t>
      </w:r>
      <w:r>
        <w:rPr>
          <w:rFonts w:ascii="Arial" w:hAnsi="Arial" w:cs="Arial"/>
          <w:sz w:val="20"/>
        </w:rPr>
        <w:t xml:space="preserve"> </w:t>
      </w:r>
      <w:r w:rsidRPr="00D31BEC">
        <w:rPr>
          <w:rFonts w:ascii="Arial" w:hAnsi="Arial" w:cs="Arial"/>
          <w:sz w:val="20"/>
        </w:rPr>
        <w:t>promiscuamente al processo produttivo o ad attività specifiche</w:t>
      </w:r>
      <w:r w:rsidR="00FA68F4">
        <w:rPr>
          <w:rFonts w:ascii="Arial" w:hAnsi="Arial" w:cs="Arial"/>
          <w:sz w:val="20"/>
        </w:rPr>
        <w:t xml:space="preserve">. </w:t>
      </w:r>
      <w:r w:rsidR="00FA68F4" w:rsidRPr="00FA68F4">
        <w:rPr>
          <w:rFonts w:ascii="Arial" w:hAnsi="Arial" w:cs="Arial"/>
          <w:sz w:val="20"/>
        </w:rPr>
        <w:t>Tale voce comprende principalmente:</w:t>
      </w:r>
    </w:p>
    <w:p w14:paraId="36812B64" w14:textId="77777777" w:rsidR="00397A40" w:rsidRPr="00397A40" w:rsidRDefault="00397A40" w:rsidP="00397A40">
      <w:pPr>
        <w:widowControl w:val="0"/>
        <w:ind w:right="1"/>
        <w:jc w:val="both"/>
        <w:rPr>
          <w:rFonts w:ascii="Arial" w:hAnsi="Arial" w:cs="Arial"/>
          <w:b/>
          <w:bCs/>
          <w:iCs/>
          <w:sz w:val="20"/>
        </w:rPr>
      </w:pPr>
    </w:p>
    <w:p w14:paraId="146A5D31" w14:textId="77777777" w:rsidR="00397A40" w:rsidRPr="00397A40" w:rsidRDefault="00397A40" w:rsidP="00CE6109">
      <w:pPr>
        <w:widowControl w:val="0"/>
        <w:numPr>
          <w:ilvl w:val="0"/>
          <w:numId w:val="19"/>
        </w:numPr>
        <w:ind w:right="1"/>
        <w:jc w:val="both"/>
        <w:rPr>
          <w:rFonts w:ascii="Arial" w:hAnsi="Arial" w:cs="Arial"/>
          <w:b/>
          <w:bCs/>
          <w:i/>
          <w:iCs/>
          <w:sz w:val="20"/>
        </w:rPr>
      </w:pPr>
      <w:r w:rsidRPr="00397A40">
        <w:rPr>
          <w:rFonts w:ascii="Arial" w:hAnsi="Arial" w:cs="Arial"/>
          <w:b/>
          <w:bCs/>
          <w:i/>
          <w:iCs/>
          <w:sz w:val="20"/>
        </w:rPr>
        <w:t>Macchinari</w:t>
      </w:r>
    </w:p>
    <w:p w14:paraId="4F85EDAD" w14:textId="77777777" w:rsidR="00FC459C" w:rsidRPr="00FC459C" w:rsidRDefault="00FC459C" w:rsidP="00FC459C">
      <w:pPr>
        <w:widowControl w:val="0"/>
        <w:spacing w:before="120"/>
        <w:jc w:val="both"/>
        <w:rPr>
          <w:rFonts w:ascii="Arial" w:hAnsi="Arial" w:cs="Arial"/>
          <w:bCs/>
          <w:iCs/>
          <w:sz w:val="20"/>
        </w:rPr>
      </w:pPr>
      <w:r w:rsidRPr="00FC459C">
        <w:rPr>
          <w:rFonts w:ascii="Arial" w:hAnsi="Arial" w:cs="Arial"/>
          <w:bCs/>
          <w:iCs/>
          <w:sz w:val="20"/>
        </w:rPr>
        <w:t>Nella voce sono stati inclusi beni dotati di autonoma funzionalità e che svolgono operazioni complementari rispetto agli impianti.</w:t>
      </w:r>
    </w:p>
    <w:p w14:paraId="5FFBED9F" w14:textId="77777777" w:rsidR="00FC459C" w:rsidRPr="00FC459C" w:rsidRDefault="00FC459C" w:rsidP="00FC459C">
      <w:pPr>
        <w:widowControl w:val="0"/>
        <w:ind w:right="1"/>
        <w:jc w:val="both"/>
        <w:rPr>
          <w:rFonts w:ascii="Arial" w:hAnsi="Arial" w:cs="Arial"/>
          <w:bCs/>
          <w:iCs/>
          <w:sz w:val="20"/>
        </w:rPr>
      </w:pPr>
      <w:r w:rsidRPr="00FC459C">
        <w:rPr>
          <w:rFonts w:ascii="Arial" w:hAnsi="Arial" w:cs="Arial"/>
          <w:bCs/>
          <w:iCs/>
          <w:sz w:val="20"/>
        </w:rPr>
        <w:t>Il costo è pari a 1.405 €/000 Il fondo ammortamento è pari a 1.366 €/000.</w:t>
      </w:r>
    </w:p>
    <w:p w14:paraId="5ED7DC8E" w14:textId="77777777" w:rsidR="00397A40" w:rsidRPr="00397A40" w:rsidRDefault="00397A40" w:rsidP="00397A40">
      <w:pPr>
        <w:widowControl w:val="0"/>
        <w:ind w:right="1"/>
        <w:jc w:val="both"/>
        <w:rPr>
          <w:rFonts w:ascii="Arial" w:hAnsi="Arial" w:cs="Arial"/>
          <w:bCs/>
          <w:iCs/>
          <w:sz w:val="20"/>
        </w:rPr>
      </w:pPr>
    </w:p>
    <w:p w14:paraId="1A350DBA" w14:textId="77777777" w:rsidR="00397A40" w:rsidRPr="00397A40" w:rsidRDefault="00397A40" w:rsidP="00CE6109">
      <w:pPr>
        <w:widowControl w:val="0"/>
        <w:numPr>
          <w:ilvl w:val="0"/>
          <w:numId w:val="19"/>
        </w:numPr>
        <w:ind w:right="1"/>
        <w:jc w:val="both"/>
        <w:rPr>
          <w:rFonts w:ascii="Arial" w:hAnsi="Arial" w:cs="Arial"/>
          <w:b/>
          <w:bCs/>
          <w:i/>
          <w:iCs/>
          <w:sz w:val="20"/>
        </w:rPr>
      </w:pPr>
      <w:r w:rsidRPr="00397A40">
        <w:rPr>
          <w:rFonts w:ascii="Arial" w:hAnsi="Arial" w:cs="Arial"/>
          <w:b/>
          <w:bCs/>
          <w:i/>
          <w:iCs/>
          <w:sz w:val="20"/>
        </w:rPr>
        <w:t>Impianti generici</w:t>
      </w:r>
    </w:p>
    <w:p w14:paraId="005C5FC2" w14:textId="77777777" w:rsidR="00CF6A35" w:rsidRDefault="00CF6A35" w:rsidP="00397A40">
      <w:pPr>
        <w:widowControl w:val="0"/>
        <w:ind w:right="1"/>
        <w:jc w:val="both"/>
        <w:rPr>
          <w:rFonts w:ascii="Arial" w:hAnsi="Arial" w:cs="Arial"/>
          <w:bCs/>
          <w:iCs/>
          <w:sz w:val="20"/>
        </w:rPr>
      </w:pPr>
      <w:bookmarkStart w:id="1" w:name="_Hlk59198269"/>
    </w:p>
    <w:p w14:paraId="72D23804" w14:textId="77777777" w:rsidR="00CF6A35" w:rsidRPr="00CF6A35" w:rsidRDefault="00CF6A35" w:rsidP="00CF6A35">
      <w:pPr>
        <w:widowControl w:val="0"/>
        <w:ind w:right="1"/>
        <w:jc w:val="both"/>
        <w:rPr>
          <w:rFonts w:ascii="Arial" w:hAnsi="Arial" w:cs="Arial"/>
          <w:bCs/>
          <w:iCs/>
          <w:sz w:val="20"/>
        </w:rPr>
      </w:pPr>
      <w:r w:rsidRPr="00CF6A35">
        <w:rPr>
          <w:rFonts w:ascii="Arial" w:hAnsi="Arial" w:cs="Arial"/>
          <w:bCs/>
          <w:iCs/>
          <w:sz w:val="20"/>
        </w:rPr>
        <w:t>Il costo di acquisto iscritto in bilancio è pari a 19.648 €/000 ed il relativo fondo di ammortamento è pari a 19.212 €/000; non si registrano incrementi significativi.</w:t>
      </w:r>
    </w:p>
    <w:bookmarkEnd w:id="1"/>
    <w:p w14:paraId="05BBE78C" w14:textId="77777777" w:rsidR="00397A40" w:rsidRPr="00397A40" w:rsidRDefault="00397A40" w:rsidP="00397A40">
      <w:pPr>
        <w:widowControl w:val="0"/>
        <w:ind w:right="1"/>
        <w:jc w:val="both"/>
        <w:rPr>
          <w:rFonts w:ascii="Arial" w:hAnsi="Arial" w:cs="Arial"/>
          <w:bCs/>
          <w:iCs/>
          <w:sz w:val="20"/>
        </w:rPr>
      </w:pPr>
    </w:p>
    <w:p w14:paraId="14AE8B8D" w14:textId="77777777" w:rsidR="00397A40" w:rsidRPr="00397A40" w:rsidRDefault="00397A40" w:rsidP="00397A40">
      <w:pPr>
        <w:widowControl w:val="0"/>
        <w:ind w:right="1"/>
        <w:jc w:val="both"/>
        <w:rPr>
          <w:rFonts w:ascii="Arial" w:hAnsi="Arial" w:cs="Arial"/>
          <w:bCs/>
          <w:iCs/>
          <w:sz w:val="20"/>
        </w:rPr>
      </w:pPr>
    </w:p>
    <w:p w14:paraId="072C61B7" w14:textId="77777777" w:rsidR="00FA68F4" w:rsidRPr="00CE6109" w:rsidRDefault="00397A40" w:rsidP="00CE6109">
      <w:pPr>
        <w:widowControl w:val="0"/>
        <w:numPr>
          <w:ilvl w:val="0"/>
          <w:numId w:val="19"/>
        </w:numPr>
        <w:ind w:right="1"/>
        <w:jc w:val="both"/>
        <w:rPr>
          <w:rFonts w:ascii="Arial" w:hAnsi="Arial" w:cs="Arial"/>
          <w:b/>
          <w:bCs/>
          <w:i/>
          <w:iCs/>
          <w:sz w:val="20"/>
        </w:rPr>
      </w:pPr>
      <w:r w:rsidRPr="00CE6109">
        <w:rPr>
          <w:rFonts w:ascii="Arial" w:hAnsi="Arial" w:cs="Arial"/>
          <w:b/>
          <w:bCs/>
          <w:i/>
          <w:iCs/>
          <w:sz w:val="20"/>
        </w:rPr>
        <w:t xml:space="preserve">Impianti ramo sosta: </w:t>
      </w:r>
    </w:p>
    <w:p w14:paraId="4CAD5384" w14:textId="77777777" w:rsidR="00FA68F4" w:rsidRDefault="00FA68F4" w:rsidP="00CE6109">
      <w:pPr>
        <w:widowControl w:val="0"/>
        <w:ind w:right="1"/>
        <w:jc w:val="both"/>
        <w:rPr>
          <w:rFonts w:ascii="Arial" w:hAnsi="Arial" w:cs="Arial"/>
          <w:bCs/>
          <w:iCs/>
          <w:sz w:val="20"/>
        </w:rPr>
      </w:pPr>
    </w:p>
    <w:p w14:paraId="3069C4F9" w14:textId="384DACF3" w:rsidR="00397A40" w:rsidRPr="00397A40" w:rsidRDefault="00FA68F4" w:rsidP="00CE6109">
      <w:pPr>
        <w:widowControl w:val="0"/>
        <w:ind w:right="1"/>
        <w:jc w:val="both"/>
        <w:rPr>
          <w:rFonts w:ascii="Arial" w:hAnsi="Arial" w:cs="Arial"/>
          <w:bCs/>
          <w:iCs/>
          <w:sz w:val="20"/>
        </w:rPr>
      </w:pPr>
      <w:r>
        <w:rPr>
          <w:rFonts w:ascii="Arial" w:hAnsi="Arial" w:cs="Arial"/>
          <w:bCs/>
          <w:iCs/>
          <w:sz w:val="20"/>
        </w:rPr>
        <w:t>T</w:t>
      </w:r>
      <w:r w:rsidR="00397A40" w:rsidRPr="00397A40">
        <w:rPr>
          <w:rFonts w:ascii="Arial" w:hAnsi="Arial" w:cs="Arial"/>
          <w:bCs/>
          <w:iCs/>
          <w:sz w:val="20"/>
        </w:rPr>
        <w:t>rattasi della acquisizione degli impianti della gestione sosta per un valore complessivo di 84</w:t>
      </w:r>
      <w:r w:rsidR="00CF6A35">
        <w:rPr>
          <w:rFonts w:ascii="Arial" w:hAnsi="Arial" w:cs="Arial"/>
          <w:bCs/>
          <w:iCs/>
          <w:sz w:val="20"/>
        </w:rPr>
        <w:t>6</w:t>
      </w:r>
      <w:r w:rsidR="00397A40" w:rsidRPr="00397A40">
        <w:rPr>
          <w:rFonts w:ascii="Arial" w:hAnsi="Arial" w:cs="Arial"/>
          <w:bCs/>
          <w:iCs/>
          <w:sz w:val="20"/>
        </w:rPr>
        <w:t xml:space="preserve"> €/000, di cui di seguito il dettaglio</w:t>
      </w:r>
    </w:p>
    <w:p w14:paraId="64B64C03" w14:textId="77777777" w:rsidR="00397A40" w:rsidRPr="00397A40" w:rsidRDefault="00397A40" w:rsidP="00397A40">
      <w:pPr>
        <w:widowControl w:val="0"/>
        <w:ind w:left="720" w:right="1"/>
        <w:jc w:val="both"/>
        <w:rPr>
          <w:rFonts w:ascii="Arial" w:hAnsi="Arial" w:cs="Arial"/>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1"/>
        <w:gridCol w:w="2274"/>
      </w:tblGrid>
      <w:tr w:rsidR="00397A40" w:rsidRPr="001629CA" w14:paraId="4839C539" w14:textId="77777777" w:rsidTr="001629CA">
        <w:trPr>
          <w:trHeight w:val="330"/>
        </w:trPr>
        <w:tc>
          <w:tcPr>
            <w:tcW w:w="5000" w:type="pct"/>
            <w:gridSpan w:val="2"/>
            <w:shd w:val="clear" w:color="auto" w:fill="auto"/>
            <w:noWrap/>
            <w:hideMark/>
          </w:tcPr>
          <w:p w14:paraId="408EFAD6" w14:textId="77777777" w:rsidR="00397A40" w:rsidRPr="001629CA" w:rsidRDefault="00397A40" w:rsidP="00CF6A35">
            <w:pPr>
              <w:widowControl w:val="0"/>
              <w:ind w:right="1"/>
              <w:jc w:val="center"/>
              <w:rPr>
                <w:rFonts w:ascii="Arial" w:hAnsi="Arial" w:cs="Arial"/>
                <w:b/>
                <w:bCs/>
                <w:iCs/>
                <w:sz w:val="20"/>
              </w:rPr>
            </w:pPr>
            <w:r w:rsidRPr="001629CA">
              <w:rPr>
                <w:rFonts w:ascii="Arial" w:hAnsi="Arial" w:cs="Arial"/>
                <w:b/>
                <w:bCs/>
                <w:iCs/>
                <w:sz w:val="20"/>
                <w:u w:val="single"/>
              </w:rPr>
              <w:t>Valore in €/000</w:t>
            </w:r>
          </w:p>
        </w:tc>
      </w:tr>
      <w:tr w:rsidR="00397A40" w:rsidRPr="001629CA" w14:paraId="69A14C44" w14:textId="77777777" w:rsidTr="001629CA">
        <w:trPr>
          <w:trHeight w:val="300"/>
        </w:trPr>
        <w:tc>
          <w:tcPr>
            <w:tcW w:w="3979" w:type="pct"/>
            <w:shd w:val="clear" w:color="auto" w:fill="auto"/>
            <w:noWrap/>
            <w:hideMark/>
          </w:tcPr>
          <w:p w14:paraId="6B50019B" w14:textId="77777777" w:rsidR="00397A40" w:rsidRPr="001629CA" w:rsidRDefault="00397A40" w:rsidP="001629CA">
            <w:pPr>
              <w:widowControl w:val="0"/>
              <w:ind w:right="1"/>
              <w:jc w:val="both"/>
              <w:rPr>
                <w:rFonts w:ascii="Arial" w:hAnsi="Arial" w:cs="Arial"/>
                <w:bCs/>
                <w:iCs/>
                <w:sz w:val="20"/>
              </w:rPr>
            </w:pPr>
            <w:r w:rsidRPr="001629CA">
              <w:rPr>
                <w:rFonts w:ascii="Arial" w:hAnsi="Arial" w:cs="Arial"/>
                <w:bCs/>
                <w:iCs/>
                <w:sz w:val="20"/>
              </w:rPr>
              <w:t> </w:t>
            </w:r>
          </w:p>
        </w:tc>
        <w:tc>
          <w:tcPr>
            <w:tcW w:w="1021" w:type="pct"/>
            <w:shd w:val="clear" w:color="auto" w:fill="auto"/>
            <w:noWrap/>
            <w:hideMark/>
          </w:tcPr>
          <w:p w14:paraId="775A98B5" w14:textId="77777777" w:rsidR="00397A40" w:rsidRPr="001629CA" w:rsidRDefault="00397A40" w:rsidP="001629CA">
            <w:pPr>
              <w:widowControl w:val="0"/>
              <w:ind w:right="1"/>
              <w:jc w:val="both"/>
              <w:rPr>
                <w:rFonts w:ascii="Arial" w:hAnsi="Arial" w:cs="Arial"/>
                <w:bCs/>
                <w:iCs/>
                <w:sz w:val="20"/>
              </w:rPr>
            </w:pPr>
            <w:r w:rsidRPr="001629CA">
              <w:rPr>
                <w:rFonts w:ascii="Arial" w:hAnsi="Arial" w:cs="Arial"/>
                <w:bCs/>
                <w:iCs/>
                <w:sz w:val="20"/>
              </w:rPr>
              <w:t> </w:t>
            </w:r>
          </w:p>
        </w:tc>
      </w:tr>
      <w:tr w:rsidR="00397A40" w:rsidRPr="001629CA" w14:paraId="59BFE5CB" w14:textId="77777777" w:rsidTr="001629CA">
        <w:trPr>
          <w:trHeight w:val="300"/>
        </w:trPr>
        <w:tc>
          <w:tcPr>
            <w:tcW w:w="3979" w:type="pct"/>
            <w:shd w:val="clear" w:color="auto" w:fill="auto"/>
            <w:noWrap/>
            <w:hideMark/>
          </w:tcPr>
          <w:p w14:paraId="6BF7B7EC" w14:textId="77777777" w:rsidR="00397A40" w:rsidRPr="001629CA" w:rsidRDefault="00CF6A35" w:rsidP="001629CA">
            <w:pPr>
              <w:widowControl w:val="0"/>
              <w:ind w:right="1"/>
              <w:jc w:val="both"/>
              <w:rPr>
                <w:rFonts w:ascii="Arial" w:hAnsi="Arial" w:cs="Arial"/>
                <w:bCs/>
                <w:iCs/>
                <w:sz w:val="20"/>
              </w:rPr>
            </w:pPr>
            <w:r w:rsidRPr="001629CA">
              <w:rPr>
                <w:rFonts w:ascii="Arial" w:hAnsi="Arial" w:cs="Arial"/>
                <w:bCs/>
                <w:iCs/>
                <w:sz w:val="20"/>
              </w:rPr>
              <w:t>Impianti P</w:t>
            </w:r>
            <w:r w:rsidR="00397A40" w:rsidRPr="001629CA">
              <w:rPr>
                <w:rFonts w:ascii="Arial" w:hAnsi="Arial" w:cs="Arial"/>
                <w:bCs/>
                <w:iCs/>
                <w:sz w:val="20"/>
              </w:rPr>
              <w:t>5</w:t>
            </w:r>
          </w:p>
        </w:tc>
        <w:tc>
          <w:tcPr>
            <w:tcW w:w="1021" w:type="pct"/>
            <w:shd w:val="clear" w:color="auto" w:fill="auto"/>
            <w:noWrap/>
            <w:hideMark/>
          </w:tcPr>
          <w:p w14:paraId="1957D62B"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279 </w:t>
            </w:r>
          </w:p>
        </w:tc>
      </w:tr>
      <w:tr w:rsidR="00397A40" w:rsidRPr="001629CA" w14:paraId="50AE7A63" w14:textId="77777777" w:rsidTr="001629CA">
        <w:trPr>
          <w:trHeight w:val="300"/>
        </w:trPr>
        <w:tc>
          <w:tcPr>
            <w:tcW w:w="3979" w:type="pct"/>
            <w:shd w:val="clear" w:color="auto" w:fill="auto"/>
            <w:noWrap/>
            <w:hideMark/>
          </w:tcPr>
          <w:p w14:paraId="31DF8319" w14:textId="77777777" w:rsidR="00397A40" w:rsidRPr="001629CA" w:rsidRDefault="00CF6A35" w:rsidP="001629CA">
            <w:pPr>
              <w:widowControl w:val="0"/>
              <w:ind w:right="1"/>
              <w:jc w:val="both"/>
              <w:rPr>
                <w:rFonts w:ascii="Arial" w:hAnsi="Arial" w:cs="Arial"/>
                <w:bCs/>
                <w:iCs/>
                <w:sz w:val="20"/>
              </w:rPr>
            </w:pPr>
            <w:r w:rsidRPr="001629CA">
              <w:rPr>
                <w:rFonts w:ascii="Arial" w:hAnsi="Arial" w:cs="Arial"/>
                <w:bCs/>
                <w:iCs/>
                <w:sz w:val="20"/>
              </w:rPr>
              <w:t>Impianti Park</w:t>
            </w:r>
            <w:r w:rsidR="00397A40" w:rsidRPr="001629CA">
              <w:rPr>
                <w:rFonts w:ascii="Arial" w:hAnsi="Arial" w:cs="Arial"/>
                <w:bCs/>
                <w:iCs/>
                <w:sz w:val="20"/>
              </w:rPr>
              <w:t xml:space="preserve"> G1</w:t>
            </w:r>
          </w:p>
        </w:tc>
        <w:tc>
          <w:tcPr>
            <w:tcW w:w="1021" w:type="pct"/>
            <w:shd w:val="clear" w:color="auto" w:fill="auto"/>
            <w:hideMark/>
          </w:tcPr>
          <w:p w14:paraId="66B53491"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50 </w:t>
            </w:r>
          </w:p>
        </w:tc>
      </w:tr>
      <w:tr w:rsidR="00397A40" w:rsidRPr="001629CA" w14:paraId="0EFC8B40" w14:textId="77777777" w:rsidTr="001629CA">
        <w:trPr>
          <w:trHeight w:val="300"/>
        </w:trPr>
        <w:tc>
          <w:tcPr>
            <w:tcW w:w="3979" w:type="pct"/>
            <w:shd w:val="clear" w:color="auto" w:fill="auto"/>
            <w:noWrap/>
            <w:hideMark/>
          </w:tcPr>
          <w:p w14:paraId="509A0E64" w14:textId="77777777" w:rsidR="00397A40" w:rsidRPr="001629CA" w:rsidRDefault="00CF6A35" w:rsidP="001629CA">
            <w:pPr>
              <w:widowControl w:val="0"/>
              <w:ind w:right="1"/>
              <w:jc w:val="both"/>
              <w:rPr>
                <w:rFonts w:ascii="Arial" w:hAnsi="Arial" w:cs="Arial"/>
                <w:bCs/>
                <w:iCs/>
                <w:sz w:val="20"/>
              </w:rPr>
            </w:pPr>
            <w:r w:rsidRPr="001629CA">
              <w:rPr>
                <w:rFonts w:ascii="Arial" w:hAnsi="Arial" w:cs="Arial"/>
                <w:bCs/>
                <w:iCs/>
                <w:sz w:val="20"/>
              </w:rPr>
              <w:t>Impianti Ponticelli</w:t>
            </w:r>
          </w:p>
        </w:tc>
        <w:tc>
          <w:tcPr>
            <w:tcW w:w="1021" w:type="pct"/>
            <w:shd w:val="clear" w:color="auto" w:fill="auto"/>
            <w:hideMark/>
          </w:tcPr>
          <w:p w14:paraId="4126F7C8"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9 </w:t>
            </w:r>
          </w:p>
        </w:tc>
      </w:tr>
      <w:tr w:rsidR="00397A40" w:rsidRPr="001629CA" w14:paraId="2062D100" w14:textId="77777777" w:rsidTr="001629CA">
        <w:trPr>
          <w:trHeight w:val="300"/>
        </w:trPr>
        <w:tc>
          <w:tcPr>
            <w:tcW w:w="3979" w:type="pct"/>
            <w:shd w:val="clear" w:color="auto" w:fill="auto"/>
            <w:noWrap/>
            <w:hideMark/>
          </w:tcPr>
          <w:p w14:paraId="0976D6B1" w14:textId="77777777" w:rsidR="00397A40" w:rsidRPr="001629CA" w:rsidRDefault="00397A40" w:rsidP="001629CA">
            <w:pPr>
              <w:widowControl w:val="0"/>
              <w:ind w:right="1"/>
              <w:jc w:val="both"/>
              <w:rPr>
                <w:rFonts w:ascii="Arial" w:hAnsi="Arial" w:cs="Arial"/>
                <w:bCs/>
                <w:iCs/>
                <w:sz w:val="20"/>
              </w:rPr>
            </w:pPr>
            <w:r w:rsidRPr="001629CA">
              <w:rPr>
                <w:rFonts w:ascii="Arial" w:hAnsi="Arial" w:cs="Arial"/>
                <w:bCs/>
                <w:iCs/>
                <w:sz w:val="20"/>
              </w:rPr>
              <w:t>Impianti Terme di Agnano</w:t>
            </w:r>
          </w:p>
        </w:tc>
        <w:tc>
          <w:tcPr>
            <w:tcW w:w="1021" w:type="pct"/>
            <w:shd w:val="clear" w:color="auto" w:fill="auto"/>
            <w:hideMark/>
          </w:tcPr>
          <w:p w14:paraId="2F16FFDF"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114 </w:t>
            </w:r>
          </w:p>
        </w:tc>
      </w:tr>
      <w:tr w:rsidR="00397A40" w:rsidRPr="001629CA" w14:paraId="20008504" w14:textId="77777777" w:rsidTr="001629CA">
        <w:trPr>
          <w:trHeight w:val="300"/>
        </w:trPr>
        <w:tc>
          <w:tcPr>
            <w:tcW w:w="3979" w:type="pct"/>
            <w:shd w:val="clear" w:color="auto" w:fill="auto"/>
            <w:noWrap/>
            <w:hideMark/>
          </w:tcPr>
          <w:p w14:paraId="09F8AF51" w14:textId="77777777" w:rsidR="00397A40" w:rsidRPr="001629CA" w:rsidRDefault="00CF6A35" w:rsidP="001629CA">
            <w:pPr>
              <w:widowControl w:val="0"/>
              <w:ind w:right="1"/>
              <w:jc w:val="both"/>
              <w:rPr>
                <w:rFonts w:ascii="Arial" w:hAnsi="Arial" w:cs="Arial"/>
                <w:bCs/>
                <w:iCs/>
                <w:sz w:val="20"/>
              </w:rPr>
            </w:pPr>
            <w:r w:rsidRPr="001629CA">
              <w:rPr>
                <w:rFonts w:ascii="Arial" w:hAnsi="Arial" w:cs="Arial"/>
                <w:bCs/>
                <w:iCs/>
                <w:sz w:val="20"/>
              </w:rPr>
              <w:t>Impianti video</w:t>
            </w:r>
            <w:r w:rsidR="00397A40" w:rsidRPr="001629CA">
              <w:rPr>
                <w:rFonts w:ascii="Arial" w:hAnsi="Arial" w:cs="Arial"/>
                <w:bCs/>
                <w:iCs/>
                <w:sz w:val="20"/>
              </w:rPr>
              <w:t xml:space="preserve"> arsenale</w:t>
            </w:r>
          </w:p>
        </w:tc>
        <w:tc>
          <w:tcPr>
            <w:tcW w:w="1021" w:type="pct"/>
            <w:shd w:val="clear" w:color="auto" w:fill="auto"/>
            <w:hideMark/>
          </w:tcPr>
          <w:p w14:paraId="246A6063"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4 </w:t>
            </w:r>
          </w:p>
        </w:tc>
      </w:tr>
      <w:tr w:rsidR="00397A40" w:rsidRPr="001629CA" w14:paraId="3A65DD6D" w14:textId="77777777" w:rsidTr="001629CA">
        <w:trPr>
          <w:trHeight w:val="300"/>
        </w:trPr>
        <w:tc>
          <w:tcPr>
            <w:tcW w:w="3979" w:type="pct"/>
            <w:shd w:val="clear" w:color="auto" w:fill="auto"/>
            <w:noWrap/>
            <w:hideMark/>
          </w:tcPr>
          <w:p w14:paraId="4EFBB621" w14:textId="77777777" w:rsidR="00397A40" w:rsidRPr="001629CA" w:rsidRDefault="00397A40" w:rsidP="001629CA">
            <w:pPr>
              <w:widowControl w:val="0"/>
              <w:ind w:right="1"/>
              <w:jc w:val="both"/>
              <w:rPr>
                <w:rFonts w:ascii="Arial" w:hAnsi="Arial" w:cs="Arial"/>
                <w:bCs/>
                <w:iCs/>
                <w:sz w:val="20"/>
              </w:rPr>
            </w:pPr>
            <w:r w:rsidRPr="001629CA">
              <w:rPr>
                <w:rFonts w:ascii="Arial" w:hAnsi="Arial" w:cs="Arial"/>
                <w:bCs/>
                <w:iCs/>
                <w:sz w:val="20"/>
              </w:rPr>
              <w:t>Impianti T1 T2)</w:t>
            </w:r>
          </w:p>
        </w:tc>
        <w:tc>
          <w:tcPr>
            <w:tcW w:w="1021" w:type="pct"/>
            <w:shd w:val="clear" w:color="auto" w:fill="auto"/>
            <w:hideMark/>
          </w:tcPr>
          <w:p w14:paraId="2986FB5D"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92 </w:t>
            </w:r>
          </w:p>
        </w:tc>
      </w:tr>
      <w:tr w:rsidR="00397A40" w:rsidRPr="001629CA" w14:paraId="63125D45" w14:textId="77777777" w:rsidTr="001629CA">
        <w:trPr>
          <w:trHeight w:val="300"/>
        </w:trPr>
        <w:tc>
          <w:tcPr>
            <w:tcW w:w="3979" w:type="pct"/>
            <w:shd w:val="clear" w:color="auto" w:fill="auto"/>
            <w:noWrap/>
            <w:hideMark/>
          </w:tcPr>
          <w:p w14:paraId="70EC72BD" w14:textId="77777777" w:rsidR="00397A40" w:rsidRPr="001629CA" w:rsidRDefault="00397A40" w:rsidP="001629CA">
            <w:pPr>
              <w:widowControl w:val="0"/>
              <w:ind w:right="1"/>
              <w:jc w:val="both"/>
              <w:rPr>
                <w:rFonts w:ascii="Arial" w:hAnsi="Arial" w:cs="Arial"/>
                <w:bCs/>
                <w:iCs/>
                <w:sz w:val="20"/>
              </w:rPr>
            </w:pPr>
            <w:r w:rsidRPr="001629CA">
              <w:rPr>
                <w:rFonts w:ascii="Arial" w:hAnsi="Arial" w:cs="Arial"/>
                <w:bCs/>
                <w:iCs/>
                <w:sz w:val="20"/>
              </w:rPr>
              <w:t>Impianti monte donzelli</w:t>
            </w:r>
          </w:p>
        </w:tc>
        <w:tc>
          <w:tcPr>
            <w:tcW w:w="1021" w:type="pct"/>
            <w:shd w:val="clear" w:color="auto" w:fill="auto"/>
            <w:hideMark/>
          </w:tcPr>
          <w:p w14:paraId="39FABC30"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13 </w:t>
            </w:r>
          </w:p>
        </w:tc>
      </w:tr>
      <w:tr w:rsidR="00397A40" w:rsidRPr="001629CA" w14:paraId="65167835" w14:textId="77777777" w:rsidTr="001629CA">
        <w:trPr>
          <w:trHeight w:val="300"/>
        </w:trPr>
        <w:tc>
          <w:tcPr>
            <w:tcW w:w="3979" w:type="pct"/>
            <w:shd w:val="clear" w:color="auto" w:fill="auto"/>
            <w:noWrap/>
            <w:hideMark/>
          </w:tcPr>
          <w:p w14:paraId="5291061E" w14:textId="77777777" w:rsidR="00397A40" w:rsidRPr="001629CA" w:rsidRDefault="00CF6A35" w:rsidP="001629CA">
            <w:pPr>
              <w:widowControl w:val="0"/>
              <w:ind w:right="1"/>
              <w:jc w:val="both"/>
              <w:rPr>
                <w:rFonts w:ascii="Arial" w:hAnsi="Arial" w:cs="Arial"/>
                <w:bCs/>
                <w:iCs/>
                <w:sz w:val="20"/>
              </w:rPr>
            </w:pPr>
            <w:r w:rsidRPr="001629CA">
              <w:rPr>
                <w:rFonts w:ascii="Arial" w:hAnsi="Arial" w:cs="Arial"/>
                <w:bCs/>
                <w:iCs/>
                <w:sz w:val="20"/>
              </w:rPr>
              <w:t>Impianti Brin</w:t>
            </w:r>
          </w:p>
        </w:tc>
        <w:tc>
          <w:tcPr>
            <w:tcW w:w="1021" w:type="pct"/>
            <w:shd w:val="clear" w:color="auto" w:fill="auto"/>
            <w:hideMark/>
          </w:tcPr>
          <w:p w14:paraId="20A495E0"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90 </w:t>
            </w:r>
          </w:p>
        </w:tc>
      </w:tr>
      <w:tr w:rsidR="00397A40" w:rsidRPr="001629CA" w14:paraId="21E64A8A" w14:textId="77777777" w:rsidTr="001629CA">
        <w:trPr>
          <w:trHeight w:val="300"/>
        </w:trPr>
        <w:tc>
          <w:tcPr>
            <w:tcW w:w="3979" w:type="pct"/>
            <w:shd w:val="clear" w:color="auto" w:fill="auto"/>
            <w:noWrap/>
            <w:hideMark/>
          </w:tcPr>
          <w:p w14:paraId="2A0E6E2F" w14:textId="77777777" w:rsidR="00397A40" w:rsidRPr="001629CA" w:rsidRDefault="00CF6A35" w:rsidP="001629CA">
            <w:pPr>
              <w:widowControl w:val="0"/>
              <w:ind w:right="1"/>
              <w:jc w:val="both"/>
              <w:rPr>
                <w:rFonts w:ascii="Arial" w:hAnsi="Arial" w:cs="Arial"/>
                <w:bCs/>
                <w:iCs/>
                <w:sz w:val="20"/>
              </w:rPr>
            </w:pPr>
            <w:r w:rsidRPr="001629CA">
              <w:rPr>
                <w:rFonts w:ascii="Arial" w:hAnsi="Arial" w:cs="Arial"/>
                <w:bCs/>
                <w:iCs/>
                <w:sz w:val="20"/>
              </w:rPr>
              <w:t>Impianti Policlinico</w:t>
            </w:r>
          </w:p>
        </w:tc>
        <w:tc>
          <w:tcPr>
            <w:tcW w:w="1021" w:type="pct"/>
            <w:shd w:val="clear" w:color="auto" w:fill="auto"/>
            <w:hideMark/>
          </w:tcPr>
          <w:p w14:paraId="06A5CE41"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22 </w:t>
            </w:r>
          </w:p>
        </w:tc>
      </w:tr>
      <w:tr w:rsidR="00397A40" w:rsidRPr="001629CA" w14:paraId="2AE20061" w14:textId="77777777" w:rsidTr="001629CA">
        <w:trPr>
          <w:trHeight w:val="300"/>
        </w:trPr>
        <w:tc>
          <w:tcPr>
            <w:tcW w:w="3979" w:type="pct"/>
            <w:shd w:val="clear" w:color="auto" w:fill="auto"/>
            <w:noWrap/>
            <w:hideMark/>
          </w:tcPr>
          <w:p w14:paraId="1AC64915" w14:textId="77777777" w:rsidR="00397A40" w:rsidRPr="001629CA" w:rsidRDefault="00CF6A35" w:rsidP="001629CA">
            <w:pPr>
              <w:widowControl w:val="0"/>
              <w:ind w:right="1"/>
              <w:jc w:val="both"/>
              <w:rPr>
                <w:rFonts w:ascii="Arial" w:hAnsi="Arial" w:cs="Arial"/>
                <w:bCs/>
                <w:iCs/>
                <w:sz w:val="20"/>
              </w:rPr>
            </w:pPr>
            <w:r w:rsidRPr="001629CA">
              <w:rPr>
                <w:rFonts w:ascii="Arial" w:hAnsi="Arial" w:cs="Arial"/>
                <w:bCs/>
                <w:iCs/>
                <w:sz w:val="20"/>
              </w:rPr>
              <w:t>Impianti sosta</w:t>
            </w:r>
            <w:r w:rsidR="00397A40" w:rsidRPr="001629CA">
              <w:rPr>
                <w:rFonts w:ascii="Arial" w:hAnsi="Arial" w:cs="Arial"/>
                <w:bCs/>
                <w:iCs/>
                <w:sz w:val="20"/>
              </w:rPr>
              <w:t xml:space="preserve"> motocicli</w:t>
            </w:r>
          </w:p>
        </w:tc>
        <w:tc>
          <w:tcPr>
            <w:tcW w:w="1021" w:type="pct"/>
            <w:shd w:val="clear" w:color="auto" w:fill="auto"/>
            <w:hideMark/>
          </w:tcPr>
          <w:p w14:paraId="43EE5FE7"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19 </w:t>
            </w:r>
          </w:p>
        </w:tc>
      </w:tr>
      <w:tr w:rsidR="00397A40" w:rsidRPr="001629CA" w14:paraId="75C03098" w14:textId="77777777" w:rsidTr="001629CA">
        <w:trPr>
          <w:trHeight w:val="300"/>
        </w:trPr>
        <w:tc>
          <w:tcPr>
            <w:tcW w:w="3979" w:type="pct"/>
            <w:shd w:val="clear" w:color="auto" w:fill="auto"/>
            <w:noWrap/>
            <w:hideMark/>
          </w:tcPr>
          <w:p w14:paraId="3B354C73" w14:textId="77777777" w:rsidR="00397A40" w:rsidRPr="001629CA" w:rsidRDefault="00CF6A35" w:rsidP="001629CA">
            <w:pPr>
              <w:widowControl w:val="0"/>
              <w:ind w:right="1"/>
              <w:jc w:val="both"/>
              <w:rPr>
                <w:rFonts w:ascii="Arial" w:hAnsi="Arial" w:cs="Arial"/>
                <w:bCs/>
                <w:iCs/>
                <w:sz w:val="20"/>
              </w:rPr>
            </w:pPr>
            <w:r w:rsidRPr="001629CA">
              <w:rPr>
                <w:rFonts w:ascii="Arial" w:hAnsi="Arial" w:cs="Arial"/>
                <w:bCs/>
                <w:iCs/>
                <w:sz w:val="20"/>
              </w:rPr>
              <w:t>Impianti Colli</w:t>
            </w:r>
            <w:r w:rsidR="00397A40" w:rsidRPr="001629CA">
              <w:rPr>
                <w:rFonts w:ascii="Arial" w:hAnsi="Arial" w:cs="Arial"/>
                <w:bCs/>
                <w:iCs/>
                <w:sz w:val="20"/>
              </w:rPr>
              <w:t xml:space="preserve"> Aminei</w:t>
            </w:r>
          </w:p>
        </w:tc>
        <w:tc>
          <w:tcPr>
            <w:tcW w:w="1021" w:type="pct"/>
            <w:shd w:val="clear" w:color="auto" w:fill="auto"/>
            <w:hideMark/>
          </w:tcPr>
          <w:p w14:paraId="06C2AEFF"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98 </w:t>
            </w:r>
          </w:p>
        </w:tc>
      </w:tr>
      <w:tr w:rsidR="00397A40" w:rsidRPr="001629CA" w14:paraId="65863084" w14:textId="77777777" w:rsidTr="001629CA">
        <w:trPr>
          <w:trHeight w:val="315"/>
        </w:trPr>
        <w:tc>
          <w:tcPr>
            <w:tcW w:w="3979" w:type="pct"/>
            <w:shd w:val="clear" w:color="auto" w:fill="auto"/>
            <w:noWrap/>
            <w:hideMark/>
          </w:tcPr>
          <w:p w14:paraId="69152DC1" w14:textId="77777777" w:rsidR="00397A40" w:rsidRPr="001629CA" w:rsidRDefault="00397A40" w:rsidP="001629CA">
            <w:pPr>
              <w:widowControl w:val="0"/>
              <w:ind w:right="1"/>
              <w:jc w:val="both"/>
              <w:rPr>
                <w:rFonts w:ascii="Arial" w:hAnsi="Arial" w:cs="Arial"/>
                <w:bCs/>
                <w:iCs/>
                <w:sz w:val="20"/>
              </w:rPr>
            </w:pPr>
            <w:r w:rsidRPr="001629CA">
              <w:rPr>
                <w:rFonts w:ascii="Arial" w:hAnsi="Arial" w:cs="Arial"/>
                <w:bCs/>
                <w:iCs/>
                <w:sz w:val="20"/>
              </w:rPr>
              <w:t>Impianti Frullone</w:t>
            </w:r>
          </w:p>
        </w:tc>
        <w:tc>
          <w:tcPr>
            <w:tcW w:w="1021" w:type="pct"/>
            <w:shd w:val="clear" w:color="auto" w:fill="auto"/>
            <w:hideMark/>
          </w:tcPr>
          <w:p w14:paraId="6C892CBD" w14:textId="77777777" w:rsidR="00397A40" w:rsidRPr="001629CA" w:rsidRDefault="00397A40" w:rsidP="00CF6A35">
            <w:pPr>
              <w:widowControl w:val="0"/>
              <w:ind w:right="1"/>
              <w:jc w:val="right"/>
              <w:rPr>
                <w:rFonts w:ascii="Arial" w:hAnsi="Arial" w:cs="Arial"/>
                <w:bCs/>
                <w:iCs/>
                <w:sz w:val="20"/>
              </w:rPr>
            </w:pPr>
            <w:r w:rsidRPr="001629CA">
              <w:rPr>
                <w:rFonts w:ascii="Arial" w:hAnsi="Arial" w:cs="Arial"/>
                <w:bCs/>
                <w:iCs/>
                <w:sz w:val="20"/>
              </w:rPr>
              <w:t xml:space="preserve">          56 </w:t>
            </w:r>
          </w:p>
        </w:tc>
      </w:tr>
      <w:tr w:rsidR="00397A40" w:rsidRPr="001629CA" w14:paraId="40625F94" w14:textId="77777777" w:rsidTr="001629CA">
        <w:trPr>
          <w:trHeight w:val="315"/>
        </w:trPr>
        <w:tc>
          <w:tcPr>
            <w:tcW w:w="3979" w:type="pct"/>
            <w:shd w:val="clear" w:color="auto" w:fill="auto"/>
            <w:noWrap/>
            <w:hideMark/>
          </w:tcPr>
          <w:p w14:paraId="68001A7B" w14:textId="77777777" w:rsidR="00397A40" w:rsidRPr="001629CA" w:rsidRDefault="00397A40" w:rsidP="001629CA">
            <w:pPr>
              <w:widowControl w:val="0"/>
              <w:ind w:right="1"/>
              <w:jc w:val="both"/>
              <w:rPr>
                <w:rFonts w:ascii="Arial" w:hAnsi="Arial" w:cs="Arial"/>
                <w:bCs/>
                <w:iCs/>
                <w:sz w:val="20"/>
              </w:rPr>
            </w:pPr>
            <w:r w:rsidRPr="001629CA">
              <w:rPr>
                <w:rFonts w:ascii="Arial" w:hAnsi="Arial" w:cs="Arial"/>
                <w:bCs/>
                <w:iCs/>
                <w:sz w:val="20"/>
              </w:rPr>
              <w:t> </w:t>
            </w:r>
          </w:p>
        </w:tc>
        <w:tc>
          <w:tcPr>
            <w:tcW w:w="1021" w:type="pct"/>
            <w:shd w:val="clear" w:color="auto" w:fill="auto"/>
            <w:noWrap/>
            <w:hideMark/>
          </w:tcPr>
          <w:p w14:paraId="6704DB6A" w14:textId="77777777" w:rsidR="00397A40" w:rsidRPr="001629CA" w:rsidRDefault="00397A40" w:rsidP="001629CA">
            <w:pPr>
              <w:widowControl w:val="0"/>
              <w:ind w:right="1"/>
              <w:jc w:val="both"/>
              <w:rPr>
                <w:rFonts w:ascii="Arial" w:hAnsi="Arial" w:cs="Arial"/>
                <w:b/>
                <w:bCs/>
                <w:iCs/>
                <w:sz w:val="20"/>
              </w:rPr>
            </w:pPr>
            <w:r w:rsidRPr="001629CA">
              <w:rPr>
                <w:rFonts w:ascii="Arial" w:hAnsi="Arial" w:cs="Arial"/>
                <w:b/>
                <w:bCs/>
                <w:iCs/>
                <w:sz w:val="20"/>
              </w:rPr>
              <w:t xml:space="preserve">                               846 </w:t>
            </w:r>
          </w:p>
        </w:tc>
      </w:tr>
    </w:tbl>
    <w:p w14:paraId="18F98417" w14:textId="77777777" w:rsidR="00397A40" w:rsidRPr="00397A40" w:rsidRDefault="00397A40" w:rsidP="00397A40">
      <w:pPr>
        <w:widowControl w:val="0"/>
        <w:ind w:right="1"/>
        <w:jc w:val="both"/>
        <w:rPr>
          <w:rFonts w:ascii="Arial" w:hAnsi="Arial" w:cs="Arial"/>
          <w:bCs/>
          <w:iCs/>
          <w:sz w:val="20"/>
        </w:rPr>
      </w:pPr>
    </w:p>
    <w:p w14:paraId="374D193C" w14:textId="77777777" w:rsidR="00397A40" w:rsidRPr="00397A40" w:rsidRDefault="00397A40" w:rsidP="00397A40">
      <w:pPr>
        <w:widowControl w:val="0"/>
        <w:ind w:right="1"/>
        <w:jc w:val="both"/>
        <w:rPr>
          <w:rFonts w:ascii="Arial" w:hAnsi="Arial" w:cs="Arial"/>
          <w:bCs/>
          <w:iCs/>
          <w:sz w:val="20"/>
        </w:rPr>
      </w:pPr>
      <w:r w:rsidRPr="00397A40">
        <w:rPr>
          <w:rFonts w:ascii="Arial" w:hAnsi="Arial" w:cs="Arial"/>
          <w:bCs/>
          <w:iCs/>
          <w:sz w:val="20"/>
        </w:rPr>
        <w:t>Il fondo ammortamento relativo è pari a 656 €/000. Entrambi i valori non hanno subito variazioni</w:t>
      </w:r>
      <w:r w:rsidR="00CF6A35">
        <w:rPr>
          <w:rFonts w:ascii="Arial" w:hAnsi="Arial" w:cs="Arial"/>
          <w:bCs/>
          <w:iCs/>
          <w:sz w:val="20"/>
        </w:rPr>
        <w:t>.</w:t>
      </w:r>
    </w:p>
    <w:p w14:paraId="23CDD316" w14:textId="77777777" w:rsidR="00397A40" w:rsidRPr="00397A40" w:rsidRDefault="00397A40" w:rsidP="00397A40">
      <w:pPr>
        <w:widowControl w:val="0"/>
        <w:ind w:right="1"/>
        <w:jc w:val="both"/>
        <w:rPr>
          <w:rFonts w:ascii="Arial" w:hAnsi="Arial" w:cs="Arial"/>
          <w:bCs/>
          <w:iCs/>
          <w:sz w:val="20"/>
        </w:rPr>
      </w:pPr>
    </w:p>
    <w:p w14:paraId="2A27C6FD" w14:textId="77777777" w:rsidR="00397A40" w:rsidRPr="00397A40" w:rsidRDefault="00397A40" w:rsidP="0049512E">
      <w:pPr>
        <w:widowControl w:val="0"/>
        <w:numPr>
          <w:ilvl w:val="0"/>
          <w:numId w:val="24"/>
        </w:numPr>
        <w:ind w:right="1"/>
        <w:jc w:val="both"/>
        <w:rPr>
          <w:rFonts w:ascii="Arial" w:hAnsi="Arial" w:cs="Arial"/>
          <w:bCs/>
          <w:iCs/>
          <w:sz w:val="20"/>
        </w:rPr>
      </w:pPr>
      <w:r w:rsidRPr="00397A40">
        <w:rPr>
          <w:rFonts w:ascii="Arial" w:hAnsi="Arial" w:cs="Arial"/>
          <w:b/>
          <w:bCs/>
          <w:i/>
          <w:iCs/>
          <w:sz w:val="20"/>
        </w:rPr>
        <w:t>Obliteratrici</w:t>
      </w:r>
    </w:p>
    <w:p w14:paraId="5309A323" w14:textId="77777777" w:rsidR="00CF6A35" w:rsidRPr="00CF6A35" w:rsidRDefault="00CF6A35" w:rsidP="00CF6A35">
      <w:pPr>
        <w:widowControl w:val="0"/>
        <w:spacing w:before="120"/>
        <w:jc w:val="both"/>
        <w:rPr>
          <w:rFonts w:ascii="Arial" w:hAnsi="Arial" w:cs="Arial"/>
          <w:bCs/>
          <w:iCs/>
          <w:sz w:val="20"/>
        </w:rPr>
      </w:pPr>
      <w:r w:rsidRPr="00CF6A35">
        <w:rPr>
          <w:rFonts w:ascii="Arial" w:hAnsi="Arial" w:cs="Arial"/>
          <w:bCs/>
          <w:iCs/>
          <w:sz w:val="20"/>
        </w:rPr>
        <w:t>Il costo esposto in bilancio è pari a 5.994 €/000 e il relativo fondo ammortamento è pari a 5.988 €/000. Non si registra alcuna variazione rispetto allo scorso esercizio.</w:t>
      </w:r>
    </w:p>
    <w:p w14:paraId="33C45DA4" w14:textId="77777777" w:rsidR="00397A40" w:rsidRPr="00397A40" w:rsidRDefault="00397A40" w:rsidP="00397A40">
      <w:pPr>
        <w:widowControl w:val="0"/>
        <w:ind w:right="1"/>
        <w:jc w:val="both"/>
        <w:rPr>
          <w:rFonts w:ascii="Arial" w:hAnsi="Arial" w:cs="Arial"/>
          <w:b/>
          <w:bCs/>
          <w:iCs/>
          <w:sz w:val="20"/>
        </w:rPr>
      </w:pPr>
    </w:p>
    <w:p w14:paraId="0F4933F3" w14:textId="77777777" w:rsidR="00397A40" w:rsidRPr="00397A40" w:rsidRDefault="00397A40" w:rsidP="0049512E">
      <w:pPr>
        <w:widowControl w:val="0"/>
        <w:numPr>
          <w:ilvl w:val="0"/>
          <w:numId w:val="19"/>
        </w:numPr>
        <w:ind w:right="1"/>
        <w:jc w:val="both"/>
        <w:rPr>
          <w:rFonts w:ascii="Arial" w:hAnsi="Arial" w:cs="Arial"/>
          <w:b/>
          <w:bCs/>
          <w:i/>
          <w:iCs/>
          <w:sz w:val="20"/>
        </w:rPr>
      </w:pPr>
      <w:r w:rsidRPr="00397A40">
        <w:rPr>
          <w:rFonts w:ascii="Arial" w:hAnsi="Arial" w:cs="Arial"/>
          <w:b/>
          <w:bCs/>
          <w:i/>
          <w:iCs/>
          <w:sz w:val="20"/>
        </w:rPr>
        <w:t>Sistemi di telecontrollo</w:t>
      </w:r>
    </w:p>
    <w:p w14:paraId="065A9CD1" w14:textId="77777777" w:rsidR="00CF6A35" w:rsidRPr="00CF6A35" w:rsidRDefault="00CF6A35" w:rsidP="00CF6A35">
      <w:pPr>
        <w:widowControl w:val="0"/>
        <w:spacing w:before="120"/>
        <w:jc w:val="both"/>
        <w:rPr>
          <w:rFonts w:ascii="Arial" w:hAnsi="Arial" w:cs="Arial"/>
          <w:bCs/>
          <w:iCs/>
          <w:sz w:val="20"/>
        </w:rPr>
      </w:pPr>
      <w:r w:rsidRPr="00CF6A35">
        <w:rPr>
          <w:rFonts w:ascii="Arial" w:hAnsi="Arial" w:cs="Arial"/>
          <w:bCs/>
          <w:iCs/>
          <w:sz w:val="20"/>
        </w:rPr>
        <w:t xml:space="preserve">Trattasi di un sistema di telerilevamento, controllo e gestione dei dati di esercizio in tempo reale per la flotta aziendale e per informazione all’utenza, reso possibile da un Sistema di ausilio all’esercizio (S.A.E.), rappresentato da apparati a bordo dei veicoli per le comunicazioni foniche, gestione di messaggi precodificati e relativo monitoraggio, da paline, chioschi informativi e da una centrale operativa. </w:t>
      </w:r>
    </w:p>
    <w:p w14:paraId="5D3E9F7E" w14:textId="77777777" w:rsidR="00CF6A35" w:rsidRDefault="00CF6A35" w:rsidP="00CF6A35">
      <w:pPr>
        <w:widowControl w:val="0"/>
        <w:ind w:right="1"/>
        <w:jc w:val="both"/>
        <w:rPr>
          <w:rFonts w:ascii="Arial" w:hAnsi="Arial" w:cs="Arial"/>
          <w:bCs/>
          <w:iCs/>
          <w:sz w:val="20"/>
        </w:rPr>
      </w:pPr>
      <w:r w:rsidRPr="00CF6A35">
        <w:rPr>
          <w:rFonts w:ascii="Arial" w:hAnsi="Arial" w:cs="Arial"/>
          <w:bCs/>
          <w:iCs/>
          <w:sz w:val="20"/>
        </w:rPr>
        <w:t>Il costo iscritto in bilancio è pari a 11.260 €/000 e il relativo fondo ammortamento è di 11.164 €/000. L’incremento rispetto lo scorso esercizio non è significativo ma è relativo solo all’acquisto di componentistica destinata allo scopo.</w:t>
      </w:r>
    </w:p>
    <w:p w14:paraId="46798D00" w14:textId="77777777" w:rsidR="00CF6A35" w:rsidRDefault="00CF6A35" w:rsidP="00CF6A35">
      <w:pPr>
        <w:widowControl w:val="0"/>
        <w:ind w:right="1"/>
        <w:jc w:val="both"/>
        <w:rPr>
          <w:rFonts w:ascii="Arial" w:hAnsi="Arial" w:cs="Arial"/>
          <w:bCs/>
          <w:iCs/>
          <w:sz w:val="20"/>
        </w:rPr>
      </w:pPr>
    </w:p>
    <w:p w14:paraId="402305E0" w14:textId="77777777" w:rsidR="00CF6A35" w:rsidRPr="00CF6A35" w:rsidRDefault="00CF6A35" w:rsidP="0049512E">
      <w:pPr>
        <w:widowControl w:val="0"/>
        <w:numPr>
          <w:ilvl w:val="0"/>
          <w:numId w:val="13"/>
        </w:numPr>
        <w:ind w:right="1"/>
        <w:jc w:val="both"/>
        <w:rPr>
          <w:rFonts w:ascii="Arial" w:hAnsi="Arial" w:cs="Arial"/>
          <w:b/>
          <w:bCs/>
          <w:i/>
          <w:iCs/>
          <w:sz w:val="20"/>
        </w:rPr>
      </w:pPr>
      <w:r w:rsidRPr="00CF6A35">
        <w:rPr>
          <w:rFonts w:ascii="Arial" w:hAnsi="Arial" w:cs="Arial"/>
          <w:b/>
          <w:bCs/>
          <w:i/>
          <w:iCs/>
          <w:sz w:val="20"/>
        </w:rPr>
        <w:t>Autobus</w:t>
      </w:r>
    </w:p>
    <w:p w14:paraId="1AA54A27" w14:textId="77777777" w:rsidR="00CF6A35" w:rsidRPr="00CF6A35" w:rsidRDefault="00CF6A35" w:rsidP="00CF6A35">
      <w:pPr>
        <w:widowControl w:val="0"/>
        <w:spacing w:before="120"/>
        <w:jc w:val="both"/>
        <w:rPr>
          <w:rFonts w:ascii="Arial" w:hAnsi="Arial" w:cs="Arial"/>
          <w:bCs/>
          <w:i/>
          <w:iCs/>
          <w:sz w:val="20"/>
        </w:rPr>
      </w:pPr>
      <w:r w:rsidRPr="00CF6A35">
        <w:rPr>
          <w:rFonts w:ascii="Arial" w:hAnsi="Arial" w:cs="Arial"/>
          <w:bCs/>
          <w:iCs/>
          <w:sz w:val="20"/>
        </w:rPr>
        <w:t xml:space="preserve">Il costo di acquisto iscritto in bilancio è pari a 77.213 €/000 ed il relativo fondo di ammortamento è pari a 74.600 €/000. Nel corso dell’anno, sulla base della convenzione firmata con la Regione Campania, sono stati rottamati autobus, completamente ammortizzati per un valore storico di 15.688 €/000. I suddetti veicoli sono stati sostituiti nel 2020 con nuovi autobus cofinanziati dalla Regione Campania. Gli autobus acquisiti a titolo di usufrutto dalla EAV sono indicati alla voce </w:t>
      </w:r>
      <w:r w:rsidRPr="00CF6A35">
        <w:rPr>
          <w:rFonts w:ascii="Arial" w:hAnsi="Arial" w:cs="Arial"/>
          <w:b/>
          <w:bCs/>
          <w:iCs/>
          <w:sz w:val="20"/>
        </w:rPr>
        <w:t xml:space="preserve">B.8 - </w:t>
      </w:r>
      <w:r w:rsidRPr="00CF6A35">
        <w:rPr>
          <w:rFonts w:ascii="Arial" w:hAnsi="Arial" w:cs="Arial"/>
          <w:bCs/>
          <w:i/>
          <w:iCs/>
          <w:sz w:val="20"/>
        </w:rPr>
        <w:t>costo per godimento beni di terzi.</w:t>
      </w:r>
    </w:p>
    <w:p w14:paraId="521A8399" w14:textId="77777777" w:rsidR="00CF6A35" w:rsidRPr="00CF6A35" w:rsidRDefault="00CF6A35" w:rsidP="00CF6A35">
      <w:pPr>
        <w:widowControl w:val="0"/>
        <w:ind w:right="1"/>
        <w:jc w:val="both"/>
        <w:rPr>
          <w:rFonts w:ascii="Arial" w:hAnsi="Arial" w:cs="Arial"/>
          <w:bCs/>
          <w:iCs/>
          <w:sz w:val="20"/>
        </w:rPr>
      </w:pPr>
    </w:p>
    <w:p w14:paraId="5E375EB8" w14:textId="77777777" w:rsidR="00CF6A35" w:rsidRPr="00CF6A35" w:rsidRDefault="00CF6A35" w:rsidP="0049512E">
      <w:pPr>
        <w:widowControl w:val="0"/>
        <w:numPr>
          <w:ilvl w:val="0"/>
          <w:numId w:val="23"/>
        </w:numPr>
        <w:tabs>
          <w:tab w:val="num" w:pos="709"/>
        </w:tabs>
        <w:ind w:right="1"/>
        <w:jc w:val="both"/>
        <w:rPr>
          <w:rFonts w:ascii="Arial" w:hAnsi="Arial" w:cs="Arial"/>
          <w:b/>
          <w:bCs/>
          <w:i/>
          <w:iCs/>
          <w:sz w:val="20"/>
        </w:rPr>
      </w:pPr>
      <w:r w:rsidRPr="00CF6A35">
        <w:rPr>
          <w:rFonts w:ascii="Arial" w:hAnsi="Arial" w:cs="Arial"/>
          <w:b/>
          <w:bCs/>
          <w:i/>
          <w:iCs/>
          <w:sz w:val="20"/>
        </w:rPr>
        <w:t>Tram</w:t>
      </w:r>
    </w:p>
    <w:p w14:paraId="0D39A664" w14:textId="77777777" w:rsidR="00CF6A35" w:rsidRPr="00CF6A35" w:rsidRDefault="00CF6A35" w:rsidP="00CF6A35">
      <w:pPr>
        <w:widowControl w:val="0"/>
        <w:spacing w:before="120"/>
        <w:jc w:val="both"/>
        <w:rPr>
          <w:rFonts w:ascii="Arial" w:hAnsi="Arial" w:cs="Arial"/>
          <w:bCs/>
          <w:iCs/>
          <w:sz w:val="20"/>
        </w:rPr>
      </w:pPr>
      <w:r w:rsidRPr="00CF6A35">
        <w:rPr>
          <w:rFonts w:ascii="Arial" w:hAnsi="Arial" w:cs="Arial"/>
          <w:bCs/>
          <w:iCs/>
          <w:sz w:val="20"/>
        </w:rPr>
        <w:t>L’importo iscritto in bilancio è pari a 23.557 €/000 e il relativo fondo ammortamento è pari a 16.523 €/000. La voce non ha subito variazioni se non nel prosieguo del processo di ammortamento.</w:t>
      </w:r>
    </w:p>
    <w:p w14:paraId="77B1133B" w14:textId="77777777" w:rsidR="00CF6A35" w:rsidRPr="00CF6A35" w:rsidRDefault="00CF6A35" w:rsidP="00CF6A35">
      <w:pPr>
        <w:widowControl w:val="0"/>
        <w:ind w:right="1"/>
        <w:jc w:val="both"/>
        <w:rPr>
          <w:rFonts w:ascii="Arial" w:hAnsi="Arial" w:cs="Arial"/>
          <w:bCs/>
          <w:iCs/>
          <w:sz w:val="20"/>
        </w:rPr>
      </w:pPr>
    </w:p>
    <w:p w14:paraId="5F3BB485" w14:textId="77777777" w:rsidR="00CF6A35" w:rsidRPr="00CF6A35" w:rsidRDefault="00CF6A35" w:rsidP="0049512E">
      <w:pPr>
        <w:widowControl w:val="0"/>
        <w:numPr>
          <w:ilvl w:val="0"/>
          <w:numId w:val="21"/>
        </w:numPr>
        <w:ind w:right="1"/>
        <w:jc w:val="both"/>
        <w:rPr>
          <w:rFonts w:ascii="Arial" w:hAnsi="Arial" w:cs="Arial"/>
          <w:b/>
          <w:bCs/>
          <w:i/>
          <w:iCs/>
          <w:sz w:val="20"/>
        </w:rPr>
      </w:pPr>
      <w:r w:rsidRPr="00CF6A35">
        <w:rPr>
          <w:rFonts w:ascii="Arial" w:hAnsi="Arial" w:cs="Arial"/>
          <w:b/>
          <w:bCs/>
          <w:i/>
          <w:iCs/>
          <w:sz w:val="20"/>
        </w:rPr>
        <w:t>Impianti-rete cavi e rete aerea</w:t>
      </w:r>
    </w:p>
    <w:p w14:paraId="10893659" w14:textId="37BEF207" w:rsidR="00CF6A35" w:rsidRPr="00CF6A35" w:rsidRDefault="00CF6A35" w:rsidP="00CF6A35">
      <w:pPr>
        <w:widowControl w:val="0"/>
        <w:spacing w:before="120"/>
        <w:jc w:val="both"/>
        <w:rPr>
          <w:rFonts w:ascii="Arial" w:hAnsi="Arial" w:cs="Arial"/>
          <w:bCs/>
          <w:iCs/>
          <w:sz w:val="20"/>
        </w:rPr>
      </w:pPr>
      <w:r w:rsidRPr="00CF6A35">
        <w:rPr>
          <w:rFonts w:ascii="Arial" w:hAnsi="Arial" w:cs="Arial"/>
          <w:bCs/>
          <w:iCs/>
          <w:sz w:val="20"/>
        </w:rPr>
        <w:t xml:space="preserve">Trattasi della realizzazione, completata e collaudata nel 2004, del I° lotto di lavori relativi agli impianti di rete aerea e del II° lotto di lavori, completato e collaudato nell’esercizio 2005, oltre che 46 €/000 dovuti a manutenzione straordinaria sulla rete filoviaria piazza Carlo </w:t>
      </w:r>
      <w:r w:rsidR="00D65236" w:rsidRPr="00CF6A35">
        <w:rPr>
          <w:rFonts w:ascii="Arial" w:hAnsi="Arial" w:cs="Arial"/>
          <w:bCs/>
          <w:iCs/>
          <w:sz w:val="20"/>
        </w:rPr>
        <w:t>III.</w:t>
      </w:r>
      <w:r w:rsidRPr="00CF6A35">
        <w:rPr>
          <w:rFonts w:ascii="Arial" w:hAnsi="Arial" w:cs="Arial"/>
          <w:bCs/>
          <w:iCs/>
          <w:sz w:val="20"/>
        </w:rPr>
        <w:t xml:space="preserve"> L’importo complessivo iscritto in bilancio è pari a 10.217 €/000 mentre il fondo ammortamento è pari a 10.092 €/000. La voce non registra variazioni.</w:t>
      </w:r>
    </w:p>
    <w:p w14:paraId="7AF6BA9D" w14:textId="77777777" w:rsidR="00CF6A35" w:rsidRPr="00CF6A35" w:rsidRDefault="00CF6A35" w:rsidP="00CF6A35">
      <w:pPr>
        <w:widowControl w:val="0"/>
        <w:ind w:right="1"/>
        <w:jc w:val="both"/>
        <w:rPr>
          <w:rFonts w:ascii="Arial" w:hAnsi="Arial" w:cs="Arial"/>
          <w:b/>
          <w:bCs/>
          <w:iCs/>
          <w:sz w:val="20"/>
        </w:rPr>
      </w:pPr>
    </w:p>
    <w:p w14:paraId="66620169" w14:textId="77777777" w:rsidR="00CF6A35" w:rsidRPr="00CF6A35" w:rsidRDefault="00CF6A35" w:rsidP="0049512E">
      <w:pPr>
        <w:widowControl w:val="0"/>
        <w:numPr>
          <w:ilvl w:val="0"/>
          <w:numId w:val="24"/>
        </w:numPr>
        <w:ind w:right="1"/>
        <w:jc w:val="both"/>
        <w:rPr>
          <w:rFonts w:ascii="Arial" w:hAnsi="Arial" w:cs="Arial"/>
          <w:bCs/>
          <w:iCs/>
          <w:sz w:val="20"/>
        </w:rPr>
      </w:pPr>
      <w:r w:rsidRPr="00CF6A35">
        <w:rPr>
          <w:rFonts w:ascii="Arial" w:hAnsi="Arial" w:cs="Arial"/>
          <w:b/>
          <w:bCs/>
          <w:i/>
          <w:iCs/>
          <w:sz w:val="20"/>
        </w:rPr>
        <w:t>Banchi prova motori</w:t>
      </w:r>
    </w:p>
    <w:p w14:paraId="58DCF408" w14:textId="77777777" w:rsidR="00CF6A35" w:rsidRPr="00CF6A35" w:rsidRDefault="00CF6A35" w:rsidP="00CF6A35">
      <w:pPr>
        <w:widowControl w:val="0"/>
        <w:spacing w:before="120"/>
        <w:jc w:val="both"/>
        <w:rPr>
          <w:rFonts w:ascii="Arial" w:hAnsi="Arial" w:cs="Arial"/>
          <w:bCs/>
          <w:iCs/>
          <w:sz w:val="20"/>
        </w:rPr>
      </w:pPr>
      <w:r w:rsidRPr="00CF6A35">
        <w:rPr>
          <w:rFonts w:ascii="Arial" w:hAnsi="Arial" w:cs="Arial"/>
          <w:bCs/>
          <w:iCs/>
          <w:sz w:val="20"/>
        </w:rPr>
        <w:t>Trattasi dell’investimento effettuato per la realizzazione della sala prova e collaudo motori presso le officine per un valore pari a 525 €/000, non ha subito variazioni; il relativo fondo ammortamento è pari a 518 €/000.</w:t>
      </w:r>
    </w:p>
    <w:p w14:paraId="2F8ABD69" w14:textId="77777777" w:rsidR="00CF6A35" w:rsidRPr="00CF6A35" w:rsidRDefault="00CF6A35" w:rsidP="00CF6A35">
      <w:pPr>
        <w:widowControl w:val="0"/>
        <w:ind w:right="1"/>
        <w:jc w:val="both"/>
        <w:rPr>
          <w:rFonts w:ascii="Arial" w:hAnsi="Arial" w:cs="Arial"/>
          <w:bCs/>
          <w:iCs/>
          <w:sz w:val="20"/>
        </w:rPr>
      </w:pPr>
    </w:p>
    <w:p w14:paraId="78912B33" w14:textId="77777777" w:rsidR="00CF6A35" w:rsidRPr="00CF6A35" w:rsidRDefault="00CF6A35" w:rsidP="0049512E">
      <w:pPr>
        <w:widowControl w:val="0"/>
        <w:numPr>
          <w:ilvl w:val="0"/>
          <w:numId w:val="22"/>
        </w:numPr>
        <w:ind w:right="1"/>
        <w:jc w:val="both"/>
        <w:rPr>
          <w:rFonts w:ascii="Arial" w:hAnsi="Arial" w:cs="Arial"/>
          <w:b/>
          <w:bCs/>
          <w:i/>
          <w:iCs/>
          <w:sz w:val="20"/>
        </w:rPr>
      </w:pPr>
      <w:r w:rsidRPr="00CF6A35">
        <w:rPr>
          <w:rFonts w:ascii="Arial" w:hAnsi="Arial" w:cs="Arial"/>
          <w:b/>
          <w:bCs/>
          <w:i/>
          <w:iCs/>
          <w:sz w:val="20"/>
        </w:rPr>
        <w:t>Armamento tranviario</w:t>
      </w:r>
    </w:p>
    <w:p w14:paraId="74333D5C" w14:textId="77777777" w:rsidR="00CF6A35" w:rsidRPr="00CF6A35" w:rsidRDefault="00CF6A35" w:rsidP="00CF6A35">
      <w:pPr>
        <w:widowControl w:val="0"/>
        <w:spacing w:before="120"/>
        <w:jc w:val="both"/>
        <w:rPr>
          <w:rFonts w:ascii="Arial" w:hAnsi="Arial" w:cs="Arial"/>
          <w:bCs/>
          <w:iCs/>
          <w:sz w:val="20"/>
        </w:rPr>
      </w:pPr>
      <w:r w:rsidRPr="00CF6A35">
        <w:rPr>
          <w:rFonts w:ascii="Arial" w:hAnsi="Arial" w:cs="Arial"/>
          <w:bCs/>
          <w:iCs/>
          <w:sz w:val="20"/>
        </w:rPr>
        <w:t xml:space="preserve">Trattasi dei lavori collaudati nell’esercizio 2009, effettuati per l’ammodernamento della sede tranviaria (tratto Casanova – Portici - Ponte Granili – C.so Garibaldi e tratto </w:t>
      </w:r>
      <w:smartTag w:uri="urn:schemas-microsoft-com:office:smarttags" w:element="PersonName">
        <w:smartTagPr>
          <w:attr w:name="ProductID" w:val="Via Marina"/>
        </w:smartTagPr>
        <w:r w:rsidRPr="00CF6A35">
          <w:rPr>
            <w:rFonts w:ascii="Arial" w:hAnsi="Arial" w:cs="Arial"/>
            <w:bCs/>
            <w:iCs/>
            <w:sz w:val="20"/>
          </w:rPr>
          <w:t>Via Marina</w:t>
        </w:r>
      </w:smartTag>
      <w:r w:rsidRPr="00CF6A35">
        <w:rPr>
          <w:rFonts w:ascii="Arial" w:hAnsi="Arial" w:cs="Arial"/>
          <w:bCs/>
          <w:iCs/>
          <w:sz w:val="20"/>
        </w:rPr>
        <w:t xml:space="preserve"> –Vespucci – Volta) resosi necessario a seguito dell’acquisizione dei nuovi tram Sirio di cui sopra. L’importo iscritto in bilancio, che non ha subito variazioni nel corso dell’esercizio, è pari a 2.754 €/000. Il relativo fondo di ammortamento è pari a 2.484 €/000. Dopo l’incremento registrato nel 2015 a seguito della avvenuta patrimonializzazione dei lavori armamento Racchetta Nazionale, conclusi e collaudati nel corso dello scorso esercizio, non si registrano variazioni.</w:t>
      </w:r>
    </w:p>
    <w:p w14:paraId="6CC5D9BF" w14:textId="77777777" w:rsidR="00CF6A35" w:rsidRPr="00CF6A35" w:rsidRDefault="00CF6A35" w:rsidP="00CF6A35">
      <w:pPr>
        <w:widowControl w:val="0"/>
        <w:ind w:right="1"/>
        <w:jc w:val="both"/>
        <w:rPr>
          <w:rFonts w:ascii="Arial" w:hAnsi="Arial" w:cs="Arial"/>
          <w:b/>
          <w:bCs/>
          <w:iCs/>
          <w:sz w:val="20"/>
        </w:rPr>
      </w:pPr>
    </w:p>
    <w:p w14:paraId="7D3F60CE" w14:textId="77777777" w:rsidR="00CF6A35" w:rsidRPr="00CF6A35" w:rsidRDefault="00CF6A35" w:rsidP="0049512E">
      <w:pPr>
        <w:widowControl w:val="0"/>
        <w:numPr>
          <w:ilvl w:val="0"/>
          <w:numId w:val="14"/>
        </w:numPr>
        <w:ind w:right="1"/>
        <w:jc w:val="both"/>
        <w:rPr>
          <w:rFonts w:ascii="Arial" w:hAnsi="Arial" w:cs="Arial"/>
          <w:b/>
          <w:bCs/>
          <w:iCs/>
          <w:sz w:val="20"/>
        </w:rPr>
      </w:pPr>
      <w:r w:rsidRPr="00CF6A35">
        <w:rPr>
          <w:rFonts w:ascii="Arial" w:hAnsi="Arial" w:cs="Arial"/>
          <w:b/>
          <w:bCs/>
          <w:i/>
          <w:iCs/>
          <w:sz w:val="20"/>
        </w:rPr>
        <w:t>Filobus</w:t>
      </w:r>
    </w:p>
    <w:p w14:paraId="0371B8C0" w14:textId="77777777" w:rsidR="00CF6A35" w:rsidRPr="00CF6A35" w:rsidRDefault="00CF6A35" w:rsidP="00CF6A35">
      <w:pPr>
        <w:widowControl w:val="0"/>
        <w:spacing w:before="120"/>
        <w:jc w:val="both"/>
        <w:rPr>
          <w:rFonts w:ascii="Arial" w:hAnsi="Arial" w:cs="Arial"/>
          <w:bCs/>
          <w:iCs/>
          <w:sz w:val="20"/>
        </w:rPr>
      </w:pPr>
      <w:r w:rsidRPr="00CF6A35">
        <w:rPr>
          <w:rFonts w:ascii="Arial" w:hAnsi="Arial" w:cs="Arial"/>
          <w:bCs/>
          <w:iCs/>
          <w:sz w:val="20"/>
        </w:rPr>
        <w:t xml:space="preserve">Trattasi dei 75 filobus acquistati con il finanziamento proveniente dai BOC e dalla L. 202/93 il cui costo storico in Bilancio è pari a 30.975 €/000. Il relativo fondo ammortamento è anch’esso pari </w:t>
      </w:r>
      <w:r w:rsidRPr="00CF6A35">
        <w:rPr>
          <w:rFonts w:ascii="Arial" w:hAnsi="Arial" w:cs="Arial"/>
          <w:bCs/>
          <w:iCs/>
          <w:sz w:val="20"/>
        </w:rPr>
        <w:lastRenderedPageBreak/>
        <w:t>a 30.975 €/000 in quanto il processo di ammortamento si è concluso nell’esercizio 2009.</w:t>
      </w:r>
    </w:p>
    <w:p w14:paraId="3CC93F3E" w14:textId="77777777" w:rsidR="00CF6A35" w:rsidRPr="00CF6A35" w:rsidRDefault="00CF6A35" w:rsidP="00316F0E">
      <w:pPr>
        <w:widowControl w:val="0"/>
        <w:spacing w:before="120"/>
        <w:jc w:val="both"/>
        <w:rPr>
          <w:rFonts w:ascii="Arial" w:hAnsi="Arial" w:cs="Arial"/>
          <w:bCs/>
          <w:iCs/>
          <w:sz w:val="20"/>
        </w:rPr>
      </w:pPr>
      <w:r w:rsidRPr="00CF6A35">
        <w:rPr>
          <w:rFonts w:ascii="Arial" w:hAnsi="Arial" w:cs="Arial"/>
          <w:bCs/>
          <w:iCs/>
          <w:sz w:val="20"/>
        </w:rPr>
        <w:t>I cespiti sopra dettagliati rientrano nel gruppo assets oggetto della svalutazione da impairment test effettuata in anni precedenti per 470 €/000.</w:t>
      </w:r>
    </w:p>
    <w:p w14:paraId="0F8C0EC9" w14:textId="77777777" w:rsidR="00CF6A35" w:rsidRDefault="00CF6A35" w:rsidP="00CF6A35">
      <w:pPr>
        <w:widowControl w:val="0"/>
        <w:ind w:right="1"/>
        <w:jc w:val="both"/>
        <w:rPr>
          <w:rFonts w:ascii="Arial" w:hAnsi="Arial" w:cs="Arial"/>
          <w:bCs/>
          <w:iCs/>
          <w:sz w:val="20"/>
        </w:rPr>
      </w:pPr>
    </w:p>
    <w:p w14:paraId="0B1FDFA8" w14:textId="77777777" w:rsidR="00397A40" w:rsidRPr="00397A40" w:rsidRDefault="00397A40" w:rsidP="00CE6109">
      <w:pPr>
        <w:widowControl w:val="0"/>
        <w:ind w:right="1"/>
        <w:jc w:val="both"/>
        <w:rPr>
          <w:rFonts w:ascii="Arial" w:hAnsi="Arial" w:cs="Arial"/>
          <w:bCs/>
          <w:iCs/>
          <w:sz w:val="20"/>
        </w:rPr>
      </w:pPr>
      <w:r w:rsidRPr="00397A40">
        <w:rPr>
          <w:rFonts w:ascii="Arial" w:hAnsi="Arial" w:cs="Arial"/>
          <w:b/>
          <w:bCs/>
          <w:iCs/>
          <w:sz w:val="20"/>
        </w:rPr>
        <w:t>Attrezzature industriali e commerciali</w:t>
      </w:r>
    </w:p>
    <w:p w14:paraId="60D3F111" w14:textId="77777777" w:rsidR="00CF6A35" w:rsidRPr="00CF6A35" w:rsidRDefault="00CF6A35" w:rsidP="00CF6A35">
      <w:pPr>
        <w:widowControl w:val="0"/>
        <w:spacing w:before="120"/>
        <w:jc w:val="both"/>
        <w:rPr>
          <w:rFonts w:ascii="Arial" w:hAnsi="Arial" w:cs="Arial"/>
          <w:bCs/>
          <w:iCs/>
          <w:sz w:val="20"/>
        </w:rPr>
      </w:pPr>
      <w:r w:rsidRPr="00CF6A35">
        <w:rPr>
          <w:rFonts w:ascii="Arial" w:hAnsi="Arial" w:cs="Arial"/>
          <w:bCs/>
          <w:iCs/>
          <w:sz w:val="20"/>
        </w:rPr>
        <w:t>Nella voce sono state incluse le attrezzature e beni che completano le capacità funzionali ed operative degli impianti e macchinari, da essi distinti per un più rapido deterioramento, ma in ogni caso imputate alla voce in esame se di valore unitario significativo e non soggette ad una rapida usura.</w:t>
      </w:r>
    </w:p>
    <w:p w14:paraId="3DD40C7E" w14:textId="77777777" w:rsidR="00CF6A35" w:rsidRPr="00CF6A35" w:rsidRDefault="00CF6A35" w:rsidP="00CF6A35">
      <w:pPr>
        <w:widowControl w:val="0"/>
        <w:ind w:right="1"/>
        <w:jc w:val="both"/>
        <w:rPr>
          <w:rFonts w:ascii="Arial" w:hAnsi="Arial" w:cs="Arial"/>
          <w:bCs/>
          <w:iCs/>
          <w:sz w:val="20"/>
        </w:rPr>
      </w:pPr>
      <w:r w:rsidRPr="00CF6A35">
        <w:rPr>
          <w:rFonts w:ascii="Arial" w:hAnsi="Arial" w:cs="Arial"/>
          <w:bCs/>
          <w:iCs/>
          <w:sz w:val="20"/>
        </w:rPr>
        <w:t>In tale raggruppamento sono state inserite tra le più rappresentative le seguenti voci:</w:t>
      </w:r>
    </w:p>
    <w:p w14:paraId="0AF00628" w14:textId="77777777" w:rsidR="00CF6A35" w:rsidRPr="00CF6A35" w:rsidRDefault="00CF6A35" w:rsidP="00CF6A35">
      <w:pPr>
        <w:widowControl w:val="0"/>
        <w:ind w:right="1"/>
        <w:jc w:val="both"/>
        <w:rPr>
          <w:rFonts w:ascii="Arial" w:hAnsi="Arial" w:cs="Arial"/>
          <w:bCs/>
          <w:iCs/>
          <w:sz w:val="20"/>
        </w:rPr>
      </w:pPr>
    </w:p>
    <w:p w14:paraId="3528F1D7" w14:textId="77777777" w:rsidR="00CF6A35" w:rsidRPr="00CF6A35" w:rsidRDefault="00CF6A35" w:rsidP="0049512E">
      <w:pPr>
        <w:widowControl w:val="0"/>
        <w:numPr>
          <w:ilvl w:val="0"/>
          <w:numId w:val="24"/>
        </w:numPr>
        <w:ind w:right="1"/>
        <w:jc w:val="both"/>
        <w:rPr>
          <w:rFonts w:ascii="Arial" w:hAnsi="Arial" w:cs="Arial"/>
          <w:bCs/>
          <w:i/>
          <w:iCs/>
          <w:sz w:val="20"/>
        </w:rPr>
      </w:pPr>
      <w:r w:rsidRPr="00CF6A35">
        <w:rPr>
          <w:rFonts w:ascii="Arial" w:hAnsi="Arial" w:cs="Arial"/>
          <w:b/>
          <w:bCs/>
          <w:i/>
          <w:iCs/>
          <w:sz w:val="20"/>
        </w:rPr>
        <w:t>Attrezzatura varia e minuta</w:t>
      </w:r>
    </w:p>
    <w:p w14:paraId="7ED29F9E" w14:textId="77777777" w:rsidR="00CF6A35" w:rsidRPr="00CF6A35" w:rsidRDefault="00CF6A35" w:rsidP="00CF6A35">
      <w:pPr>
        <w:widowControl w:val="0"/>
        <w:spacing w:before="120"/>
        <w:jc w:val="both"/>
        <w:rPr>
          <w:rFonts w:ascii="Arial" w:hAnsi="Arial" w:cs="Arial"/>
          <w:bCs/>
          <w:iCs/>
          <w:sz w:val="20"/>
        </w:rPr>
      </w:pPr>
      <w:r w:rsidRPr="00CF6A35">
        <w:rPr>
          <w:rFonts w:ascii="Arial" w:hAnsi="Arial" w:cs="Arial"/>
          <w:bCs/>
          <w:iCs/>
          <w:sz w:val="20"/>
        </w:rPr>
        <w:t>Sono iscritte per un valore complessivo pari a 2.201 €/000 e il relativo fondo è pari a 2.062 €/000. La voce non ha subito variazioni di rilievo.</w:t>
      </w:r>
    </w:p>
    <w:p w14:paraId="71425A6B" w14:textId="77777777" w:rsidR="00CF6A35" w:rsidRPr="00CF6A35" w:rsidRDefault="00CF6A35" w:rsidP="00CF6A35">
      <w:pPr>
        <w:widowControl w:val="0"/>
        <w:ind w:right="1"/>
        <w:jc w:val="both"/>
        <w:rPr>
          <w:rFonts w:ascii="Arial" w:hAnsi="Arial" w:cs="Arial"/>
          <w:bCs/>
          <w:iCs/>
          <w:sz w:val="20"/>
        </w:rPr>
      </w:pPr>
    </w:p>
    <w:p w14:paraId="1993BBFA" w14:textId="77777777" w:rsidR="00CF6A35" w:rsidRDefault="00CF6A35" w:rsidP="0049512E">
      <w:pPr>
        <w:widowControl w:val="0"/>
        <w:numPr>
          <w:ilvl w:val="0"/>
          <w:numId w:val="24"/>
        </w:numPr>
        <w:ind w:right="1"/>
        <w:jc w:val="both"/>
        <w:rPr>
          <w:rFonts w:ascii="Arial" w:hAnsi="Arial" w:cs="Arial"/>
          <w:b/>
          <w:bCs/>
          <w:iCs/>
          <w:sz w:val="20"/>
        </w:rPr>
      </w:pPr>
      <w:r w:rsidRPr="00CF6A35">
        <w:rPr>
          <w:rFonts w:ascii="Arial" w:hAnsi="Arial" w:cs="Arial"/>
          <w:b/>
          <w:bCs/>
          <w:i/>
          <w:iCs/>
          <w:sz w:val="20"/>
        </w:rPr>
        <w:t>Ganasce, misuratori fiscali, distributori automatici tickets</w:t>
      </w:r>
      <w:r w:rsidRPr="00CF6A35">
        <w:rPr>
          <w:rFonts w:ascii="Arial" w:hAnsi="Arial" w:cs="Arial"/>
          <w:b/>
          <w:bCs/>
          <w:iCs/>
          <w:sz w:val="20"/>
        </w:rPr>
        <w:t xml:space="preserve">: </w:t>
      </w:r>
    </w:p>
    <w:p w14:paraId="539F1819" w14:textId="77777777" w:rsidR="00CF6A35" w:rsidRPr="00CF6A35" w:rsidRDefault="00CF6A35" w:rsidP="00CF6A35">
      <w:pPr>
        <w:widowControl w:val="0"/>
        <w:ind w:right="1"/>
        <w:jc w:val="both"/>
        <w:rPr>
          <w:rFonts w:ascii="Arial" w:hAnsi="Arial" w:cs="Arial"/>
          <w:b/>
          <w:bCs/>
          <w:iCs/>
          <w:sz w:val="20"/>
        </w:rPr>
      </w:pPr>
      <w:r>
        <w:rPr>
          <w:rFonts w:ascii="Arial" w:hAnsi="Arial" w:cs="Arial"/>
          <w:bCs/>
          <w:iCs/>
          <w:sz w:val="20"/>
        </w:rPr>
        <w:t>T</w:t>
      </w:r>
      <w:r w:rsidRPr="00CF6A35">
        <w:rPr>
          <w:rFonts w:ascii="Arial" w:hAnsi="Arial" w:cs="Arial"/>
          <w:bCs/>
          <w:iCs/>
          <w:sz w:val="20"/>
        </w:rPr>
        <w:t xml:space="preserve">rattasi di attrezzature derivanti dalla acquisizione assesti per la gestione sosta. I costi sono pari rispettivamente a 24 €/000, 14 €/000 e 122€/000, con fondi ammortamento di 9 €/000, 10 €/000 e 38 €/000.    </w:t>
      </w:r>
    </w:p>
    <w:p w14:paraId="196C4C5A" w14:textId="77777777" w:rsidR="00CF6A35" w:rsidRPr="00CF6A35" w:rsidRDefault="00CF6A35" w:rsidP="00CF6A35">
      <w:pPr>
        <w:widowControl w:val="0"/>
        <w:ind w:right="1"/>
        <w:jc w:val="both"/>
        <w:rPr>
          <w:rFonts w:ascii="Arial" w:hAnsi="Arial" w:cs="Arial"/>
          <w:b/>
          <w:bCs/>
          <w:iCs/>
          <w:sz w:val="20"/>
        </w:rPr>
      </w:pPr>
    </w:p>
    <w:p w14:paraId="6AB9E74B" w14:textId="77777777" w:rsidR="00CF6A35" w:rsidRPr="00CF6A35" w:rsidRDefault="00CF6A35" w:rsidP="0049512E">
      <w:pPr>
        <w:widowControl w:val="0"/>
        <w:numPr>
          <w:ilvl w:val="0"/>
          <w:numId w:val="17"/>
        </w:numPr>
        <w:ind w:right="1"/>
        <w:jc w:val="both"/>
        <w:rPr>
          <w:rFonts w:ascii="Arial" w:hAnsi="Arial" w:cs="Arial"/>
          <w:bCs/>
          <w:i/>
          <w:iCs/>
          <w:sz w:val="20"/>
        </w:rPr>
      </w:pPr>
      <w:r w:rsidRPr="00CF6A35">
        <w:rPr>
          <w:rFonts w:ascii="Arial" w:hAnsi="Arial" w:cs="Arial"/>
          <w:b/>
          <w:bCs/>
          <w:i/>
          <w:iCs/>
          <w:sz w:val="20"/>
        </w:rPr>
        <w:t>Mobili e macchine di ufficio</w:t>
      </w:r>
    </w:p>
    <w:p w14:paraId="78EB16D6" w14:textId="77777777" w:rsidR="00CF6A35" w:rsidRPr="00CF6A35" w:rsidRDefault="00CF6A35" w:rsidP="00CF6A35">
      <w:pPr>
        <w:widowControl w:val="0"/>
        <w:spacing w:before="120"/>
        <w:jc w:val="both"/>
        <w:rPr>
          <w:rFonts w:ascii="Arial" w:hAnsi="Arial" w:cs="Arial"/>
          <w:bCs/>
          <w:iCs/>
          <w:sz w:val="20"/>
        </w:rPr>
      </w:pPr>
      <w:r w:rsidRPr="00CF6A35">
        <w:rPr>
          <w:rFonts w:ascii="Arial" w:hAnsi="Arial" w:cs="Arial"/>
          <w:bCs/>
          <w:iCs/>
          <w:sz w:val="20"/>
        </w:rPr>
        <w:t>Sono iscritti in bilancio per un valore complessivo pari a 1.668 €/000  ed il</w:t>
      </w:r>
      <w:r w:rsidRPr="00CF6A35">
        <w:rPr>
          <w:rFonts w:ascii="Arial" w:hAnsi="Arial" w:cs="Arial"/>
          <w:b/>
          <w:bCs/>
          <w:iCs/>
          <w:sz w:val="20"/>
        </w:rPr>
        <w:t xml:space="preserve"> </w:t>
      </w:r>
      <w:r w:rsidRPr="00CF6A35">
        <w:rPr>
          <w:rFonts w:ascii="Arial" w:hAnsi="Arial" w:cs="Arial"/>
          <w:bCs/>
          <w:iCs/>
          <w:sz w:val="20"/>
        </w:rPr>
        <w:t xml:space="preserve"> relativo fondo ammortamento è pari a 1.569 €/000 L'incremento, poco significativo, che ha interessato la voce in esame, ha riguardato, principalmente, l'acquisto di arredi per ufficio.</w:t>
      </w:r>
    </w:p>
    <w:p w14:paraId="6DD813D7" w14:textId="77777777" w:rsidR="00CF6A35" w:rsidRPr="00CF6A35" w:rsidRDefault="00CF6A35" w:rsidP="00CF6A35">
      <w:pPr>
        <w:widowControl w:val="0"/>
        <w:ind w:right="1"/>
        <w:jc w:val="both"/>
        <w:rPr>
          <w:rFonts w:ascii="Arial" w:hAnsi="Arial" w:cs="Arial"/>
          <w:b/>
          <w:bCs/>
          <w:iCs/>
          <w:sz w:val="20"/>
        </w:rPr>
      </w:pPr>
    </w:p>
    <w:p w14:paraId="157E01F0" w14:textId="77777777" w:rsidR="00CF6A35" w:rsidRPr="00CF6A35" w:rsidRDefault="00CF6A35" w:rsidP="0049512E">
      <w:pPr>
        <w:widowControl w:val="0"/>
        <w:numPr>
          <w:ilvl w:val="0"/>
          <w:numId w:val="18"/>
        </w:numPr>
        <w:ind w:right="1"/>
        <w:jc w:val="both"/>
        <w:rPr>
          <w:rFonts w:ascii="Arial" w:hAnsi="Arial" w:cs="Arial"/>
          <w:bCs/>
          <w:i/>
          <w:iCs/>
          <w:sz w:val="20"/>
        </w:rPr>
      </w:pPr>
      <w:r w:rsidRPr="00CF6A35">
        <w:rPr>
          <w:rFonts w:ascii="Arial" w:hAnsi="Arial" w:cs="Arial"/>
          <w:b/>
          <w:bCs/>
          <w:i/>
          <w:iCs/>
          <w:sz w:val="20"/>
        </w:rPr>
        <w:t>Macchine d'ufficio elettroniche</w:t>
      </w:r>
    </w:p>
    <w:p w14:paraId="1E1D1E25" w14:textId="77777777" w:rsidR="00CF6A35" w:rsidRDefault="00CF6A35" w:rsidP="00CF6A35">
      <w:pPr>
        <w:widowControl w:val="0"/>
        <w:spacing w:before="120"/>
        <w:jc w:val="both"/>
        <w:rPr>
          <w:rFonts w:ascii="Arial" w:hAnsi="Arial" w:cs="Arial"/>
          <w:bCs/>
          <w:iCs/>
          <w:sz w:val="20"/>
        </w:rPr>
      </w:pPr>
      <w:r w:rsidRPr="00CF6A35">
        <w:rPr>
          <w:rFonts w:ascii="Arial" w:hAnsi="Arial" w:cs="Arial"/>
          <w:bCs/>
          <w:iCs/>
          <w:sz w:val="20"/>
        </w:rPr>
        <w:t>Nella voce sono iscritti i costi sostenuti per l’acquisto di apparecchiature hardware e nuovi PC, che nell’anno in esame non registrano rilievi significativi; il costo complessivamente iscritto in bilancio è pari a 3.198 €/000 ed il relativo fondo è pari a 3.120 €/000.</w:t>
      </w:r>
    </w:p>
    <w:p w14:paraId="5E1A2FA1" w14:textId="77777777" w:rsidR="00316F0E" w:rsidRPr="00316F0E" w:rsidRDefault="00316F0E" w:rsidP="00316F0E">
      <w:pPr>
        <w:widowControl w:val="0"/>
        <w:spacing w:before="120"/>
        <w:jc w:val="both"/>
        <w:rPr>
          <w:rFonts w:ascii="Arial" w:hAnsi="Arial" w:cs="Arial"/>
          <w:bCs/>
          <w:iCs/>
          <w:sz w:val="20"/>
        </w:rPr>
      </w:pPr>
      <w:r w:rsidRPr="00316F0E">
        <w:rPr>
          <w:rFonts w:ascii="Arial" w:hAnsi="Arial" w:cs="Arial"/>
          <w:bCs/>
          <w:iCs/>
          <w:sz w:val="20"/>
        </w:rPr>
        <w:t>I cespiti sopra dettagliati rientrano nel gruppo assets oggetto della svalutazione da impairment test effettuata in anni precedenti per 135 €/000.</w:t>
      </w:r>
    </w:p>
    <w:p w14:paraId="2DA22A8D" w14:textId="77777777" w:rsidR="00397A40" w:rsidRPr="00397A40" w:rsidRDefault="00397A40" w:rsidP="00D31BEC">
      <w:pPr>
        <w:widowControl w:val="0"/>
        <w:ind w:right="1"/>
        <w:jc w:val="both"/>
        <w:rPr>
          <w:rFonts w:ascii="Arial" w:hAnsi="Arial" w:cs="Arial"/>
          <w:bCs/>
          <w:iCs/>
          <w:sz w:val="20"/>
        </w:rPr>
      </w:pPr>
    </w:p>
    <w:p w14:paraId="41472EC0" w14:textId="77777777" w:rsidR="00BE0F68" w:rsidRPr="00BE0F68" w:rsidRDefault="00BE0F68" w:rsidP="00BE0F68">
      <w:pPr>
        <w:widowControl w:val="0"/>
        <w:spacing w:before="120" w:after="60"/>
        <w:jc w:val="both"/>
        <w:rPr>
          <w:rFonts w:ascii="Arial" w:hAnsi="Arial" w:cs="Arial"/>
          <w:b/>
          <w:bCs/>
          <w:sz w:val="22"/>
          <w:szCs w:val="22"/>
        </w:rPr>
      </w:pPr>
      <w:r w:rsidRPr="00BE0F68">
        <w:rPr>
          <w:rFonts w:ascii="Arial" w:hAnsi="Arial" w:cs="Arial"/>
          <w:b/>
          <w:bCs/>
          <w:sz w:val="22"/>
          <w:szCs w:val="22"/>
        </w:rPr>
        <w:t>Immobilizzazioni finanziarie</w:t>
      </w:r>
    </w:p>
    <w:p w14:paraId="62D9592F" w14:textId="16F0B87A" w:rsidR="0093506C" w:rsidRPr="0093506C" w:rsidRDefault="0093506C" w:rsidP="00BE0F68">
      <w:pPr>
        <w:spacing w:line="360" w:lineRule="auto"/>
        <w:ind w:left="4254" w:firstLine="709"/>
        <w:jc w:val="center"/>
        <w:rPr>
          <w:sz w:val="20"/>
          <w:szCs w:val="20"/>
        </w:rPr>
      </w:pPr>
      <w:r w:rsidRPr="0093506C">
        <w:rPr>
          <w:i/>
          <w:sz w:val="20"/>
          <w:szCs w:val="20"/>
        </w:rPr>
        <w:t>Euro/migliaia</w:t>
      </w:r>
    </w:p>
    <w:tbl>
      <w:tblPr>
        <w:tblW w:w="9142" w:type="dxa"/>
        <w:tblLayout w:type="fixed"/>
        <w:tblLook w:val="01E0" w:firstRow="1" w:lastRow="1" w:firstColumn="1" w:lastColumn="1" w:noHBand="0" w:noVBand="0"/>
      </w:tblPr>
      <w:tblGrid>
        <w:gridCol w:w="4465"/>
        <w:gridCol w:w="283"/>
        <w:gridCol w:w="2126"/>
        <w:gridCol w:w="2268"/>
      </w:tblGrid>
      <w:tr w:rsidR="0093506C" w:rsidRPr="0093506C" w14:paraId="1239A14F" w14:textId="77777777" w:rsidTr="00650BD7">
        <w:tc>
          <w:tcPr>
            <w:tcW w:w="4465" w:type="dxa"/>
            <w:tcBorders>
              <w:top w:val="single" w:sz="4" w:space="0" w:color="auto"/>
              <w:bottom w:val="single" w:sz="4" w:space="0" w:color="auto"/>
            </w:tcBorders>
          </w:tcPr>
          <w:p w14:paraId="473F4D52" w14:textId="77777777" w:rsidR="0093506C" w:rsidRPr="0093506C" w:rsidRDefault="0093506C" w:rsidP="0093506C">
            <w:pPr>
              <w:spacing w:line="360" w:lineRule="auto"/>
              <w:jc w:val="center"/>
              <w:rPr>
                <w:b/>
                <w:sz w:val="22"/>
                <w:szCs w:val="22"/>
              </w:rPr>
            </w:pPr>
          </w:p>
        </w:tc>
        <w:tc>
          <w:tcPr>
            <w:tcW w:w="283" w:type="dxa"/>
          </w:tcPr>
          <w:p w14:paraId="6286162F" w14:textId="77777777" w:rsidR="0093506C" w:rsidRPr="0093506C" w:rsidRDefault="0093506C" w:rsidP="0093506C">
            <w:pPr>
              <w:spacing w:line="360" w:lineRule="auto"/>
              <w:jc w:val="center"/>
              <w:rPr>
                <w:b/>
                <w:sz w:val="22"/>
                <w:szCs w:val="22"/>
              </w:rPr>
            </w:pPr>
          </w:p>
        </w:tc>
        <w:tc>
          <w:tcPr>
            <w:tcW w:w="2126" w:type="dxa"/>
            <w:tcBorders>
              <w:top w:val="single" w:sz="4" w:space="0" w:color="auto"/>
              <w:bottom w:val="single" w:sz="4" w:space="0" w:color="auto"/>
            </w:tcBorders>
          </w:tcPr>
          <w:p w14:paraId="4D0DE948" w14:textId="77777777" w:rsidR="0093506C" w:rsidRPr="0093506C" w:rsidRDefault="0093506C" w:rsidP="00587261">
            <w:pPr>
              <w:spacing w:line="360" w:lineRule="auto"/>
              <w:jc w:val="center"/>
              <w:rPr>
                <w:b/>
                <w:sz w:val="22"/>
                <w:szCs w:val="22"/>
              </w:rPr>
            </w:pPr>
            <w:r w:rsidRPr="0093506C">
              <w:rPr>
                <w:b/>
                <w:sz w:val="22"/>
                <w:szCs w:val="22"/>
              </w:rPr>
              <w:t xml:space="preserve">     Esercizio 1</w:t>
            </w:r>
            <w:r w:rsidR="00001890">
              <w:rPr>
                <w:b/>
                <w:sz w:val="22"/>
                <w:szCs w:val="22"/>
              </w:rPr>
              <w:t>9</w:t>
            </w:r>
          </w:p>
        </w:tc>
        <w:tc>
          <w:tcPr>
            <w:tcW w:w="2268" w:type="dxa"/>
            <w:tcBorders>
              <w:top w:val="single" w:sz="4" w:space="0" w:color="auto"/>
              <w:bottom w:val="single" w:sz="4" w:space="0" w:color="auto"/>
            </w:tcBorders>
          </w:tcPr>
          <w:p w14:paraId="29BB51B0" w14:textId="77777777" w:rsidR="0093506C" w:rsidRPr="0093506C" w:rsidRDefault="0093506C" w:rsidP="00587261">
            <w:pPr>
              <w:spacing w:line="360" w:lineRule="auto"/>
              <w:jc w:val="center"/>
              <w:rPr>
                <w:b/>
                <w:sz w:val="22"/>
                <w:szCs w:val="22"/>
              </w:rPr>
            </w:pPr>
            <w:r w:rsidRPr="0093506C">
              <w:rPr>
                <w:b/>
                <w:sz w:val="22"/>
                <w:szCs w:val="22"/>
              </w:rPr>
              <w:t xml:space="preserve">     Esercizio 1</w:t>
            </w:r>
            <w:r w:rsidR="00001890">
              <w:rPr>
                <w:b/>
                <w:sz w:val="22"/>
                <w:szCs w:val="22"/>
              </w:rPr>
              <w:t>8</w:t>
            </w:r>
          </w:p>
        </w:tc>
      </w:tr>
      <w:tr w:rsidR="0093506C" w:rsidRPr="0093506C" w14:paraId="504E6B10" w14:textId="77777777" w:rsidTr="00650BD7">
        <w:tc>
          <w:tcPr>
            <w:tcW w:w="4465" w:type="dxa"/>
            <w:tcBorders>
              <w:top w:val="single" w:sz="4" w:space="0" w:color="auto"/>
              <w:bottom w:val="double" w:sz="4" w:space="0" w:color="auto"/>
            </w:tcBorders>
          </w:tcPr>
          <w:p w14:paraId="47EE1B68" w14:textId="77777777" w:rsidR="0093506C" w:rsidRPr="0093506C" w:rsidRDefault="0093506C" w:rsidP="0093506C">
            <w:pPr>
              <w:spacing w:line="360" w:lineRule="auto"/>
              <w:jc w:val="both"/>
              <w:rPr>
                <w:b/>
                <w:sz w:val="22"/>
                <w:szCs w:val="22"/>
              </w:rPr>
            </w:pPr>
            <w:r w:rsidRPr="0093506C">
              <w:rPr>
                <w:b/>
                <w:sz w:val="22"/>
                <w:szCs w:val="22"/>
              </w:rPr>
              <w:t>III. IMMOBILIZZAZIONI FINANZIARIE</w:t>
            </w:r>
          </w:p>
        </w:tc>
        <w:tc>
          <w:tcPr>
            <w:tcW w:w="283" w:type="dxa"/>
          </w:tcPr>
          <w:p w14:paraId="149E381B" w14:textId="77777777" w:rsidR="0093506C" w:rsidRPr="0093506C" w:rsidRDefault="0093506C" w:rsidP="0093506C">
            <w:pPr>
              <w:spacing w:line="360" w:lineRule="auto"/>
              <w:jc w:val="right"/>
              <w:rPr>
                <w:b/>
                <w:sz w:val="22"/>
                <w:szCs w:val="22"/>
              </w:rPr>
            </w:pPr>
          </w:p>
        </w:tc>
        <w:tc>
          <w:tcPr>
            <w:tcW w:w="2126" w:type="dxa"/>
            <w:tcBorders>
              <w:top w:val="single" w:sz="4" w:space="0" w:color="auto"/>
              <w:bottom w:val="double" w:sz="4" w:space="0" w:color="auto"/>
            </w:tcBorders>
          </w:tcPr>
          <w:p w14:paraId="14DB16B0" w14:textId="77777777" w:rsidR="0093506C" w:rsidRPr="0093506C" w:rsidRDefault="0093506C" w:rsidP="0093506C">
            <w:pPr>
              <w:spacing w:line="360" w:lineRule="auto"/>
              <w:jc w:val="center"/>
              <w:rPr>
                <w:b/>
                <w:sz w:val="22"/>
                <w:szCs w:val="22"/>
              </w:rPr>
            </w:pPr>
            <w:r w:rsidRPr="0093506C">
              <w:rPr>
                <w:b/>
                <w:sz w:val="22"/>
                <w:szCs w:val="22"/>
              </w:rPr>
              <w:t xml:space="preserve">    </w:t>
            </w:r>
            <w:r w:rsidR="00001890">
              <w:rPr>
                <w:b/>
                <w:sz w:val="22"/>
                <w:szCs w:val="22"/>
              </w:rPr>
              <w:t>165</w:t>
            </w:r>
          </w:p>
        </w:tc>
        <w:tc>
          <w:tcPr>
            <w:tcW w:w="2268" w:type="dxa"/>
            <w:tcBorders>
              <w:top w:val="single" w:sz="4" w:space="0" w:color="auto"/>
              <w:bottom w:val="double" w:sz="4" w:space="0" w:color="auto"/>
            </w:tcBorders>
          </w:tcPr>
          <w:p w14:paraId="34021E3A" w14:textId="77777777" w:rsidR="0093506C" w:rsidRPr="0093506C" w:rsidRDefault="0093506C" w:rsidP="0093506C">
            <w:pPr>
              <w:spacing w:line="360" w:lineRule="auto"/>
              <w:jc w:val="center"/>
              <w:rPr>
                <w:b/>
                <w:sz w:val="22"/>
                <w:szCs w:val="22"/>
              </w:rPr>
            </w:pPr>
            <w:r w:rsidRPr="0093506C">
              <w:rPr>
                <w:b/>
                <w:sz w:val="22"/>
                <w:szCs w:val="22"/>
              </w:rPr>
              <w:t xml:space="preserve">    172</w:t>
            </w:r>
          </w:p>
        </w:tc>
      </w:tr>
    </w:tbl>
    <w:p w14:paraId="6B6E3667" w14:textId="77777777" w:rsidR="00BE0F68" w:rsidRDefault="00BE0F68" w:rsidP="00BE0F68">
      <w:pPr>
        <w:spacing w:line="360" w:lineRule="auto"/>
        <w:jc w:val="both"/>
      </w:pPr>
    </w:p>
    <w:p w14:paraId="7E29F557" w14:textId="149F4E06" w:rsidR="00BE0F68" w:rsidRPr="00BE0F68" w:rsidRDefault="00BE0F68" w:rsidP="00BE0F68">
      <w:pPr>
        <w:jc w:val="both"/>
        <w:rPr>
          <w:rFonts w:ascii="Arial" w:hAnsi="Arial" w:cs="Arial"/>
          <w:sz w:val="20"/>
          <w:szCs w:val="20"/>
        </w:rPr>
      </w:pPr>
      <w:r w:rsidRPr="00BE0F68">
        <w:rPr>
          <w:rFonts w:ascii="Arial" w:hAnsi="Arial" w:cs="Arial"/>
          <w:sz w:val="20"/>
          <w:szCs w:val="20"/>
        </w:rPr>
        <w:t xml:space="preserve">La voce riguarda esclusivamente la </w:t>
      </w:r>
      <w:r w:rsidR="001E0FA2">
        <w:rPr>
          <w:rFonts w:ascii="Arial" w:hAnsi="Arial" w:cs="Arial"/>
          <w:sz w:val="20"/>
          <w:szCs w:val="20"/>
        </w:rPr>
        <w:t>società</w:t>
      </w:r>
      <w:r w:rsidR="001E0FA2" w:rsidRPr="00BE0F68">
        <w:rPr>
          <w:rFonts w:ascii="Arial" w:hAnsi="Arial" w:cs="Arial"/>
          <w:sz w:val="20"/>
          <w:szCs w:val="20"/>
        </w:rPr>
        <w:t xml:space="preserve"> </w:t>
      </w:r>
      <w:r w:rsidRPr="00BE0F68">
        <w:rPr>
          <w:rFonts w:ascii="Arial" w:hAnsi="Arial" w:cs="Arial"/>
          <w:sz w:val="20"/>
          <w:szCs w:val="20"/>
        </w:rPr>
        <w:t xml:space="preserve">controllata ed è costituita principalmente da partecipazioni in imprese collegate </w:t>
      </w:r>
      <w:r w:rsidR="00001890" w:rsidRPr="00BE0F68">
        <w:rPr>
          <w:rFonts w:ascii="Arial" w:hAnsi="Arial" w:cs="Arial"/>
          <w:sz w:val="20"/>
          <w:szCs w:val="20"/>
        </w:rPr>
        <w:t>per euro</w:t>
      </w:r>
      <w:r w:rsidRPr="00BE0F68">
        <w:rPr>
          <w:rFonts w:ascii="Arial" w:hAnsi="Arial" w:cs="Arial"/>
          <w:sz w:val="20"/>
          <w:szCs w:val="20"/>
        </w:rPr>
        <w:t xml:space="preserve"> 11</w:t>
      </w:r>
      <w:r w:rsidR="00001890">
        <w:rPr>
          <w:rFonts w:ascii="Arial" w:hAnsi="Arial" w:cs="Arial"/>
          <w:sz w:val="20"/>
          <w:szCs w:val="20"/>
        </w:rPr>
        <w:t>1</w:t>
      </w:r>
      <w:r w:rsidRPr="00BE0F68">
        <w:rPr>
          <w:rFonts w:ascii="Arial" w:hAnsi="Arial" w:cs="Arial"/>
          <w:sz w:val="20"/>
          <w:szCs w:val="20"/>
        </w:rPr>
        <w:t xml:space="preserve"> mila e da crediti finanziari per </w:t>
      </w:r>
      <w:r w:rsidR="00001890" w:rsidRPr="00BE0F68">
        <w:rPr>
          <w:rFonts w:ascii="Arial" w:hAnsi="Arial" w:cs="Arial"/>
          <w:sz w:val="20"/>
          <w:szCs w:val="20"/>
        </w:rPr>
        <w:t>euro</w:t>
      </w:r>
      <w:r w:rsidRPr="00BE0F68">
        <w:rPr>
          <w:rFonts w:ascii="Arial" w:hAnsi="Arial" w:cs="Arial"/>
          <w:sz w:val="20"/>
          <w:szCs w:val="20"/>
        </w:rPr>
        <w:t xml:space="preserve"> 54 mila.</w:t>
      </w:r>
    </w:p>
    <w:p w14:paraId="2AB60869" w14:textId="77777777" w:rsidR="00FA68F4" w:rsidRDefault="00FA68F4" w:rsidP="00BE0F68">
      <w:pPr>
        <w:widowControl w:val="0"/>
        <w:spacing w:before="120" w:after="60"/>
        <w:jc w:val="both"/>
        <w:rPr>
          <w:rFonts w:ascii="Arial" w:hAnsi="Arial" w:cs="Arial"/>
          <w:b/>
          <w:bCs/>
          <w:sz w:val="20"/>
        </w:rPr>
      </w:pPr>
    </w:p>
    <w:p w14:paraId="246D7D16" w14:textId="77777777" w:rsidR="00BE0F68" w:rsidRPr="00BE0F68" w:rsidRDefault="00BE0F68" w:rsidP="00BE0F68">
      <w:pPr>
        <w:widowControl w:val="0"/>
        <w:spacing w:before="120" w:after="60"/>
        <w:jc w:val="both"/>
        <w:rPr>
          <w:rFonts w:ascii="Arial" w:hAnsi="Arial" w:cs="Arial"/>
          <w:b/>
          <w:bCs/>
          <w:sz w:val="20"/>
        </w:rPr>
      </w:pPr>
      <w:r w:rsidRPr="00BE0F68">
        <w:rPr>
          <w:rFonts w:ascii="Arial" w:hAnsi="Arial" w:cs="Arial"/>
          <w:b/>
          <w:bCs/>
          <w:sz w:val="20"/>
        </w:rPr>
        <w:t xml:space="preserve">Partecipazioni </w:t>
      </w:r>
    </w:p>
    <w:p w14:paraId="17647FC6" w14:textId="2BE1DDC3" w:rsidR="0093506C" w:rsidRDefault="00FA68F4" w:rsidP="0093506C">
      <w:pPr>
        <w:spacing w:line="360" w:lineRule="auto"/>
        <w:jc w:val="both"/>
        <w:rPr>
          <w:rFonts w:ascii="Arial" w:hAnsi="Arial" w:cs="Arial"/>
          <w:bCs/>
          <w:iCs/>
          <w:sz w:val="20"/>
          <w:szCs w:val="20"/>
        </w:rPr>
      </w:pPr>
      <w:r>
        <w:rPr>
          <w:rFonts w:ascii="Arial" w:hAnsi="Arial" w:cs="Arial"/>
          <w:bCs/>
          <w:iCs/>
          <w:sz w:val="20"/>
          <w:szCs w:val="20"/>
        </w:rPr>
        <w:t>R</w:t>
      </w:r>
      <w:r w:rsidR="0093506C" w:rsidRPr="0093506C">
        <w:rPr>
          <w:rFonts w:ascii="Arial" w:hAnsi="Arial" w:cs="Arial"/>
          <w:bCs/>
          <w:iCs/>
          <w:sz w:val="20"/>
          <w:szCs w:val="20"/>
        </w:rPr>
        <w:t>ientrano nella voce</w:t>
      </w:r>
      <w:r w:rsidR="00001890">
        <w:rPr>
          <w:rFonts w:ascii="Arial" w:hAnsi="Arial" w:cs="Arial"/>
          <w:bCs/>
          <w:iCs/>
          <w:sz w:val="20"/>
          <w:szCs w:val="20"/>
        </w:rPr>
        <w:t xml:space="preserve"> principalmente le</w:t>
      </w:r>
      <w:r>
        <w:rPr>
          <w:rFonts w:ascii="Arial" w:hAnsi="Arial" w:cs="Arial"/>
          <w:bCs/>
          <w:iCs/>
          <w:sz w:val="20"/>
          <w:szCs w:val="20"/>
        </w:rPr>
        <w:t xml:space="preserve"> partecipazioni in</w:t>
      </w:r>
      <w:r w:rsidR="00001890">
        <w:rPr>
          <w:rFonts w:ascii="Arial" w:hAnsi="Arial" w:cs="Arial"/>
          <w:bCs/>
          <w:iCs/>
          <w:sz w:val="20"/>
          <w:szCs w:val="20"/>
        </w:rPr>
        <w:t xml:space="preserve"> imprese collegate</w:t>
      </w:r>
      <w:r w:rsidR="0093506C" w:rsidRPr="0093506C">
        <w:rPr>
          <w:rFonts w:ascii="Arial" w:hAnsi="Arial" w:cs="Arial"/>
          <w:bCs/>
          <w:iCs/>
          <w:sz w:val="20"/>
          <w:szCs w:val="20"/>
        </w:rPr>
        <w:t>:</w:t>
      </w:r>
    </w:p>
    <w:p w14:paraId="05868D0D" w14:textId="77777777" w:rsidR="00587261" w:rsidRPr="00587261" w:rsidRDefault="00587261" w:rsidP="00587261">
      <w:pPr>
        <w:spacing w:line="360" w:lineRule="auto"/>
        <w:jc w:val="both"/>
        <w:rPr>
          <w:rFonts w:ascii="Arial" w:hAnsi="Arial" w:cs="Arial"/>
          <w:b/>
          <w:bCs/>
          <w:iCs/>
          <w:sz w:val="20"/>
          <w:szCs w:val="20"/>
        </w:rPr>
      </w:pPr>
      <w:r w:rsidRPr="00587261">
        <w:rPr>
          <w:rFonts w:ascii="Arial" w:hAnsi="Arial" w:cs="Arial"/>
          <w:b/>
          <w:bCs/>
          <w:iCs/>
          <w:sz w:val="20"/>
          <w:szCs w:val="20"/>
        </w:rPr>
        <w:t>b) imprese collegate</w:t>
      </w:r>
    </w:p>
    <w:p w14:paraId="15DDCF17" w14:textId="13055995" w:rsidR="00587261" w:rsidRPr="00587261" w:rsidRDefault="00587261" w:rsidP="00CE6109">
      <w:pPr>
        <w:spacing w:line="360" w:lineRule="auto"/>
        <w:ind w:left="6372"/>
        <w:jc w:val="both"/>
        <w:rPr>
          <w:rFonts w:ascii="Arial" w:hAnsi="Arial" w:cs="Arial"/>
          <w:bCs/>
          <w:iCs/>
          <w:sz w:val="20"/>
          <w:szCs w:val="20"/>
        </w:rPr>
      </w:pPr>
      <w:r w:rsidRPr="00587261">
        <w:rPr>
          <w:rFonts w:ascii="Arial" w:hAnsi="Arial" w:cs="Arial"/>
          <w:bCs/>
          <w:i/>
          <w:iCs/>
          <w:sz w:val="20"/>
          <w:szCs w:val="20"/>
        </w:rPr>
        <w:t xml:space="preserve">                                                                                                                                    </w:t>
      </w:r>
      <w:r w:rsidR="00C879C8">
        <w:rPr>
          <w:rFonts w:ascii="Arial" w:hAnsi="Arial" w:cs="Arial"/>
          <w:bCs/>
          <w:i/>
          <w:iCs/>
          <w:sz w:val="20"/>
          <w:szCs w:val="20"/>
        </w:rPr>
        <w:t xml:space="preserve">   </w:t>
      </w:r>
      <w:r w:rsidRPr="00587261">
        <w:rPr>
          <w:rFonts w:ascii="Arial" w:hAnsi="Arial" w:cs="Arial"/>
          <w:bCs/>
          <w:i/>
          <w:iCs/>
          <w:sz w:val="20"/>
          <w:szCs w:val="20"/>
        </w:rPr>
        <w:t>Euro/migliaia</w:t>
      </w:r>
    </w:p>
    <w:tbl>
      <w:tblPr>
        <w:tblW w:w="0" w:type="auto"/>
        <w:tblInd w:w="70" w:type="dxa"/>
        <w:tblLayout w:type="fixed"/>
        <w:tblCellMar>
          <w:left w:w="70" w:type="dxa"/>
          <w:right w:w="70" w:type="dxa"/>
        </w:tblCellMar>
        <w:tblLook w:val="0000" w:firstRow="0" w:lastRow="0" w:firstColumn="0" w:lastColumn="0" w:noHBand="0" w:noVBand="0"/>
      </w:tblPr>
      <w:tblGrid>
        <w:gridCol w:w="7230"/>
        <w:gridCol w:w="1842"/>
      </w:tblGrid>
      <w:tr w:rsidR="00587261" w:rsidRPr="00587261" w14:paraId="2FD41427" w14:textId="77777777" w:rsidTr="00C75E14">
        <w:tc>
          <w:tcPr>
            <w:tcW w:w="7230" w:type="dxa"/>
          </w:tcPr>
          <w:p w14:paraId="795E7500" w14:textId="77777777" w:rsidR="00587261" w:rsidRPr="00587261" w:rsidRDefault="00587261" w:rsidP="001629CA">
            <w:pPr>
              <w:numPr>
                <w:ilvl w:val="0"/>
                <w:numId w:val="9"/>
              </w:numPr>
              <w:spacing w:line="360" w:lineRule="auto"/>
              <w:jc w:val="both"/>
              <w:rPr>
                <w:rFonts w:ascii="Arial" w:hAnsi="Arial" w:cs="Arial"/>
                <w:b/>
                <w:bCs/>
                <w:iCs/>
                <w:sz w:val="20"/>
                <w:szCs w:val="20"/>
              </w:rPr>
            </w:pPr>
            <w:r w:rsidRPr="00587261">
              <w:rPr>
                <w:rFonts w:ascii="Arial" w:hAnsi="Arial" w:cs="Arial"/>
                <w:b/>
                <w:bCs/>
                <w:iCs/>
                <w:sz w:val="20"/>
                <w:szCs w:val="20"/>
              </w:rPr>
              <w:lastRenderedPageBreak/>
              <w:t>Consorzio Unicocampania</w:t>
            </w:r>
          </w:p>
        </w:tc>
        <w:tc>
          <w:tcPr>
            <w:tcW w:w="1842" w:type="dxa"/>
          </w:tcPr>
          <w:p w14:paraId="37BB846D" w14:textId="77777777" w:rsidR="00587261" w:rsidRPr="00587261" w:rsidRDefault="00587261" w:rsidP="00587261">
            <w:pPr>
              <w:spacing w:line="360" w:lineRule="auto"/>
              <w:jc w:val="both"/>
              <w:rPr>
                <w:rFonts w:ascii="Arial" w:hAnsi="Arial" w:cs="Arial"/>
                <w:b/>
                <w:bCs/>
                <w:iCs/>
                <w:sz w:val="20"/>
                <w:szCs w:val="20"/>
              </w:rPr>
            </w:pPr>
            <w:r w:rsidRPr="00587261">
              <w:rPr>
                <w:rFonts w:ascii="Arial" w:hAnsi="Arial" w:cs="Arial"/>
                <w:b/>
                <w:bCs/>
                <w:iCs/>
                <w:sz w:val="20"/>
                <w:szCs w:val="20"/>
              </w:rPr>
              <w:t xml:space="preserve">             </w:t>
            </w:r>
            <w:r w:rsidR="00001890">
              <w:rPr>
                <w:rFonts w:ascii="Arial" w:hAnsi="Arial" w:cs="Arial"/>
                <w:b/>
                <w:bCs/>
                <w:iCs/>
                <w:sz w:val="20"/>
                <w:szCs w:val="20"/>
              </w:rPr>
              <w:t>33</w:t>
            </w:r>
          </w:p>
        </w:tc>
      </w:tr>
    </w:tbl>
    <w:p w14:paraId="7615EBBD" w14:textId="77777777" w:rsidR="00587261" w:rsidRPr="00587261" w:rsidRDefault="00587261" w:rsidP="00587261">
      <w:pPr>
        <w:spacing w:line="360" w:lineRule="auto"/>
        <w:jc w:val="both"/>
        <w:rPr>
          <w:rFonts w:ascii="Arial" w:hAnsi="Arial" w:cs="Arial"/>
          <w:bCs/>
          <w:iCs/>
          <w:sz w:val="20"/>
          <w:szCs w:val="20"/>
        </w:rPr>
      </w:pPr>
    </w:p>
    <w:p w14:paraId="4201AE1E" w14:textId="77777777" w:rsidR="00001890" w:rsidRPr="00001890" w:rsidRDefault="00001890" w:rsidP="00001890">
      <w:pPr>
        <w:spacing w:line="360" w:lineRule="auto"/>
        <w:jc w:val="both"/>
        <w:rPr>
          <w:rFonts w:ascii="Arial" w:hAnsi="Arial" w:cs="Arial"/>
          <w:bCs/>
          <w:iCs/>
          <w:sz w:val="20"/>
          <w:szCs w:val="20"/>
        </w:rPr>
      </w:pPr>
      <w:r w:rsidRPr="00001890">
        <w:rPr>
          <w:rFonts w:ascii="Arial" w:hAnsi="Arial" w:cs="Arial"/>
          <w:bCs/>
          <w:iCs/>
          <w:sz w:val="20"/>
          <w:szCs w:val="20"/>
        </w:rPr>
        <w:t xml:space="preserve">L’importo iscritto nella voce è relativo alla partecipazione al Consorzio UNICOCAMPANIA. </w:t>
      </w:r>
    </w:p>
    <w:p w14:paraId="5581837F" w14:textId="77777777" w:rsidR="00587261" w:rsidRPr="00587261" w:rsidRDefault="00001890" w:rsidP="00001890">
      <w:pPr>
        <w:spacing w:line="360" w:lineRule="auto"/>
        <w:jc w:val="both"/>
        <w:rPr>
          <w:rFonts w:ascii="Arial" w:hAnsi="Arial" w:cs="Arial"/>
          <w:bCs/>
          <w:iCs/>
          <w:sz w:val="20"/>
          <w:szCs w:val="20"/>
        </w:rPr>
      </w:pPr>
      <w:r w:rsidRPr="00001890">
        <w:rPr>
          <w:rFonts w:ascii="Arial" w:hAnsi="Arial" w:cs="Arial"/>
          <w:bCs/>
          <w:iCs/>
          <w:sz w:val="20"/>
          <w:szCs w:val="20"/>
        </w:rPr>
        <w:t xml:space="preserve">Rispetto </w:t>
      </w:r>
      <w:r w:rsidR="00FA68F4">
        <w:rPr>
          <w:rFonts w:ascii="Arial" w:hAnsi="Arial" w:cs="Arial"/>
          <w:bCs/>
          <w:iCs/>
          <w:sz w:val="20"/>
          <w:szCs w:val="20"/>
        </w:rPr>
        <w:t>al</w:t>
      </w:r>
      <w:r w:rsidRPr="00001890">
        <w:rPr>
          <w:rFonts w:ascii="Arial" w:hAnsi="Arial" w:cs="Arial"/>
          <w:bCs/>
          <w:iCs/>
          <w:sz w:val="20"/>
          <w:szCs w:val="20"/>
        </w:rPr>
        <w:t>lo scorso esercizio si è verificata una riduzione della partecipazione in Consorzio a seguito del verbale assemblea straordinaria del 2/7/2019. La partecipazione al 31/12/2019 vale 33 €/000. La percentuale di partecipazione si computa in 18,4</w:t>
      </w:r>
      <w:r>
        <w:rPr>
          <w:rFonts w:ascii="Arial" w:hAnsi="Arial" w:cs="Arial"/>
          <w:bCs/>
          <w:iCs/>
          <w:sz w:val="20"/>
          <w:szCs w:val="20"/>
        </w:rPr>
        <w:t>4</w:t>
      </w:r>
      <w:r w:rsidRPr="00001890">
        <w:rPr>
          <w:rFonts w:ascii="Arial" w:hAnsi="Arial" w:cs="Arial"/>
          <w:bCs/>
          <w:iCs/>
          <w:sz w:val="20"/>
          <w:szCs w:val="20"/>
        </w:rPr>
        <w:t>%. Il bilancio consortile chiude in pareggio</w:t>
      </w:r>
    </w:p>
    <w:p w14:paraId="649E8DBB" w14:textId="4F4A7781" w:rsidR="00587261" w:rsidRPr="00587261" w:rsidRDefault="00587261" w:rsidP="00587261">
      <w:pPr>
        <w:spacing w:line="360" w:lineRule="auto"/>
        <w:jc w:val="both"/>
        <w:rPr>
          <w:rFonts w:ascii="Arial" w:hAnsi="Arial" w:cs="Arial"/>
          <w:bCs/>
          <w:iCs/>
          <w:sz w:val="20"/>
          <w:szCs w:val="20"/>
        </w:rPr>
      </w:pPr>
      <w:r w:rsidRPr="00587261">
        <w:rPr>
          <w:rFonts w:ascii="Arial" w:hAnsi="Arial" w:cs="Arial"/>
          <w:bCs/>
          <w:iCs/>
          <w:sz w:val="20"/>
          <w:szCs w:val="20"/>
        </w:rPr>
        <w:tab/>
      </w:r>
      <w:r w:rsidRPr="00587261">
        <w:rPr>
          <w:rFonts w:ascii="Arial" w:hAnsi="Arial" w:cs="Arial"/>
          <w:bCs/>
          <w:iCs/>
          <w:sz w:val="20"/>
          <w:szCs w:val="20"/>
        </w:rPr>
        <w:tab/>
      </w:r>
      <w:r w:rsidRPr="00587261">
        <w:rPr>
          <w:rFonts w:ascii="Arial" w:hAnsi="Arial" w:cs="Arial"/>
          <w:bCs/>
          <w:iCs/>
          <w:sz w:val="20"/>
          <w:szCs w:val="20"/>
        </w:rPr>
        <w:tab/>
      </w:r>
      <w:r w:rsidRPr="00587261">
        <w:rPr>
          <w:rFonts w:ascii="Arial" w:hAnsi="Arial" w:cs="Arial"/>
          <w:bCs/>
          <w:iCs/>
          <w:sz w:val="20"/>
          <w:szCs w:val="20"/>
        </w:rPr>
        <w:tab/>
      </w:r>
      <w:r w:rsidRPr="00587261">
        <w:rPr>
          <w:rFonts w:ascii="Arial" w:hAnsi="Arial" w:cs="Arial"/>
          <w:bCs/>
          <w:iCs/>
          <w:sz w:val="20"/>
          <w:szCs w:val="20"/>
        </w:rPr>
        <w:tab/>
      </w:r>
      <w:r w:rsidRPr="00587261">
        <w:rPr>
          <w:rFonts w:ascii="Arial" w:hAnsi="Arial" w:cs="Arial"/>
          <w:bCs/>
          <w:iCs/>
          <w:sz w:val="20"/>
          <w:szCs w:val="20"/>
        </w:rPr>
        <w:tab/>
      </w:r>
      <w:r w:rsidRPr="00587261">
        <w:rPr>
          <w:rFonts w:ascii="Arial" w:hAnsi="Arial" w:cs="Arial"/>
          <w:bCs/>
          <w:iCs/>
          <w:sz w:val="20"/>
          <w:szCs w:val="20"/>
        </w:rPr>
        <w:tab/>
      </w:r>
      <w:r w:rsidRPr="00587261">
        <w:rPr>
          <w:rFonts w:ascii="Arial" w:hAnsi="Arial" w:cs="Arial"/>
          <w:bCs/>
          <w:iCs/>
          <w:sz w:val="20"/>
          <w:szCs w:val="20"/>
        </w:rPr>
        <w:tab/>
      </w:r>
      <w:r w:rsidRPr="00587261">
        <w:rPr>
          <w:rFonts w:ascii="Arial" w:hAnsi="Arial" w:cs="Arial"/>
          <w:bCs/>
          <w:iCs/>
          <w:sz w:val="20"/>
          <w:szCs w:val="20"/>
        </w:rPr>
        <w:tab/>
        <w:t xml:space="preserve">      </w:t>
      </w:r>
      <w:r w:rsidRPr="00587261">
        <w:rPr>
          <w:rFonts w:ascii="Arial" w:hAnsi="Arial" w:cs="Arial"/>
          <w:bCs/>
          <w:i/>
          <w:iCs/>
          <w:sz w:val="20"/>
          <w:szCs w:val="20"/>
          <w:lang w:val="en-GB"/>
        </w:rPr>
        <w:t>Euro/migliaia</w:t>
      </w:r>
    </w:p>
    <w:tbl>
      <w:tblPr>
        <w:tblW w:w="0" w:type="auto"/>
        <w:tblInd w:w="70" w:type="dxa"/>
        <w:tblLayout w:type="fixed"/>
        <w:tblCellMar>
          <w:left w:w="70" w:type="dxa"/>
          <w:right w:w="70" w:type="dxa"/>
        </w:tblCellMar>
        <w:tblLook w:val="0000" w:firstRow="0" w:lastRow="0" w:firstColumn="0" w:lastColumn="0" w:noHBand="0" w:noVBand="0"/>
      </w:tblPr>
      <w:tblGrid>
        <w:gridCol w:w="7230"/>
        <w:gridCol w:w="1984"/>
      </w:tblGrid>
      <w:tr w:rsidR="00587261" w:rsidRPr="00587261" w14:paraId="1B69B0A7" w14:textId="77777777" w:rsidTr="00C75E14">
        <w:tc>
          <w:tcPr>
            <w:tcW w:w="7230" w:type="dxa"/>
          </w:tcPr>
          <w:p w14:paraId="31B01CAC" w14:textId="77777777" w:rsidR="00587261" w:rsidRPr="00587261" w:rsidRDefault="00587261" w:rsidP="001629CA">
            <w:pPr>
              <w:numPr>
                <w:ilvl w:val="0"/>
                <w:numId w:val="10"/>
              </w:numPr>
              <w:spacing w:line="360" w:lineRule="auto"/>
              <w:jc w:val="both"/>
              <w:rPr>
                <w:rFonts w:ascii="Arial" w:hAnsi="Arial" w:cs="Arial"/>
                <w:b/>
                <w:bCs/>
                <w:iCs/>
                <w:sz w:val="20"/>
                <w:szCs w:val="20"/>
                <w:lang w:val="en-GB"/>
              </w:rPr>
            </w:pPr>
            <w:r w:rsidRPr="00587261">
              <w:rPr>
                <w:rFonts w:ascii="Arial" w:hAnsi="Arial" w:cs="Arial"/>
                <w:b/>
                <w:bCs/>
                <w:iCs/>
                <w:sz w:val="20"/>
                <w:szCs w:val="20"/>
                <w:lang w:val="en-GB"/>
              </w:rPr>
              <w:t>Citysightseeing Napoli</w:t>
            </w:r>
          </w:p>
        </w:tc>
        <w:tc>
          <w:tcPr>
            <w:tcW w:w="1984" w:type="dxa"/>
          </w:tcPr>
          <w:p w14:paraId="4C48AEE0" w14:textId="77777777" w:rsidR="00587261" w:rsidRPr="00587261" w:rsidRDefault="00587261" w:rsidP="00587261">
            <w:pPr>
              <w:spacing w:line="360" w:lineRule="auto"/>
              <w:jc w:val="both"/>
              <w:rPr>
                <w:rFonts w:ascii="Arial" w:hAnsi="Arial" w:cs="Arial"/>
                <w:b/>
                <w:bCs/>
                <w:iCs/>
                <w:sz w:val="20"/>
                <w:szCs w:val="20"/>
                <w:lang w:val="en-GB"/>
              </w:rPr>
            </w:pPr>
            <w:r w:rsidRPr="00587261">
              <w:rPr>
                <w:rFonts w:ascii="Arial" w:hAnsi="Arial" w:cs="Arial"/>
                <w:b/>
                <w:bCs/>
                <w:iCs/>
                <w:sz w:val="20"/>
                <w:szCs w:val="20"/>
                <w:lang w:val="en-GB"/>
              </w:rPr>
              <w:t xml:space="preserve">        78                                               </w:t>
            </w:r>
          </w:p>
        </w:tc>
      </w:tr>
    </w:tbl>
    <w:p w14:paraId="40AAB203" w14:textId="77777777" w:rsidR="00587261" w:rsidRPr="00587261" w:rsidRDefault="00587261" w:rsidP="00587261">
      <w:pPr>
        <w:spacing w:line="360" w:lineRule="auto"/>
        <w:jc w:val="both"/>
        <w:rPr>
          <w:rFonts w:ascii="Arial" w:hAnsi="Arial" w:cs="Arial"/>
          <w:bCs/>
          <w:iCs/>
          <w:sz w:val="20"/>
          <w:szCs w:val="20"/>
        </w:rPr>
      </w:pPr>
    </w:p>
    <w:p w14:paraId="6F7BF188" w14:textId="77777777" w:rsidR="00001890" w:rsidRPr="00001890" w:rsidRDefault="00001890" w:rsidP="00001890">
      <w:pPr>
        <w:spacing w:line="360" w:lineRule="auto"/>
        <w:jc w:val="both"/>
        <w:rPr>
          <w:rFonts w:ascii="Arial" w:hAnsi="Arial" w:cs="Arial"/>
          <w:bCs/>
          <w:iCs/>
          <w:sz w:val="20"/>
          <w:szCs w:val="20"/>
        </w:rPr>
      </w:pPr>
      <w:r w:rsidRPr="00001890">
        <w:rPr>
          <w:rFonts w:ascii="Arial" w:hAnsi="Arial" w:cs="Arial"/>
          <w:bCs/>
          <w:iCs/>
          <w:sz w:val="20"/>
          <w:szCs w:val="20"/>
        </w:rPr>
        <w:t>Il giorno 31 ottobre 2003 si è costituita la società City Sightseeing Napoli S.r.l., con sede a Napoli, Piazza Matteotti n° 7, con un capitale sociale di € 589.300, avente durata fissata fino al 31/12/2050. La società ha per oggetto la gestione di servizi di trasporto di persone di natura pubblica o privata (noleggio), per la visita della città con bus a due piani scoperti.</w:t>
      </w:r>
    </w:p>
    <w:p w14:paraId="00EDE373" w14:textId="77777777" w:rsidR="00587261" w:rsidRPr="00587261" w:rsidRDefault="00587261" w:rsidP="00587261">
      <w:pPr>
        <w:spacing w:line="360" w:lineRule="auto"/>
        <w:jc w:val="both"/>
        <w:rPr>
          <w:rFonts w:ascii="Arial" w:hAnsi="Arial" w:cs="Arial"/>
          <w:bCs/>
          <w:iCs/>
          <w:sz w:val="20"/>
          <w:szCs w:val="20"/>
        </w:rPr>
      </w:pPr>
      <w:r w:rsidRPr="00587261">
        <w:rPr>
          <w:rFonts w:ascii="Arial" w:hAnsi="Arial" w:cs="Arial"/>
          <w:bCs/>
          <w:iCs/>
          <w:sz w:val="20"/>
          <w:szCs w:val="20"/>
        </w:rPr>
        <w:t xml:space="preserve">Gli attuali soci sono: </w:t>
      </w:r>
    </w:p>
    <w:p w14:paraId="413B5BC3" w14:textId="77777777" w:rsidR="00587261" w:rsidRPr="00587261" w:rsidRDefault="00587261" w:rsidP="001629CA">
      <w:pPr>
        <w:numPr>
          <w:ilvl w:val="1"/>
          <w:numId w:val="10"/>
        </w:numPr>
        <w:spacing w:line="360" w:lineRule="auto"/>
        <w:jc w:val="both"/>
        <w:rPr>
          <w:rFonts w:ascii="Arial" w:hAnsi="Arial" w:cs="Arial"/>
          <w:bCs/>
          <w:iCs/>
          <w:sz w:val="20"/>
          <w:szCs w:val="20"/>
          <w:lang w:val="en-GB"/>
        </w:rPr>
      </w:pPr>
      <w:r w:rsidRPr="00587261">
        <w:rPr>
          <w:rFonts w:ascii="Arial" w:hAnsi="Arial" w:cs="Arial"/>
          <w:bCs/>
          <w:iCs/>
          <w:sz w:val="20"/>
          <w:szCs w:val="20"/>
          <w:lang w:val="en-GB"/>
        </w:rPr>
        <w:t>CTP SPA</w:t>
      </w:r>
    </w:p>
    <w:p w14:paraId="1D3C2F65" w14:textId="77777777" w:rsidR="00587261" w:rsidRPr="00587261" w:rsidRDefault="00587261" w:rsidP="001629CA">
      <w:pPr>
        <w:numPr>
          <w:ilvl w:val="1"/>
          <w:numId w:val="10"/>
        </w:numPr>
        <w:spacing w:line="360" w:lineRule="auto"/>
        <w:jc w:val="both"/>
        <w:rPr>
          <w:rFonts w:ascii="Arial" w:hAnsi="Arial" w:cs="Arial"/>
          <w:bCs/>
          <w:iCs/>
          <w:sz w:val="20"/>
          <w:szCs w:val="20"/>
          <w:lang w:val="en-GB"/>
        </w:rPr>
      </w:pPr>
      <w:r w:rsidRPr="00587261">
        <w:rPr>
          <w:rFonts w:ascii="Arial" w:hAnsi="Arial" w:cs="Arial"/>
          <w:bCs/>
          <w:iCs/>
          <w:sz w:val="20"/>
          <w:szCs w:val="20"/>
          <w:lang w:val="en-GB"/>
        </w:rPr>
        <w:t>EAV SRL</w:t>
      </w:r>
    </w:p>
    <w:p w14:paraId="28F2F5AF" w14:textId="77777777" w:rsidR="00587261" w:rsidRPr="00587261" w:rsidRDefault="00587261" w:rsidP="001629CA">
      <w:pPr>
        <w:numPr>
          <w:ilvl w:val="1"/>
          <w:numId w:val="10"/>
        </w:numPr>
        <w:spacing w:line="360" w:lineRule="auto"/>
        <w:jc w:val="both"/>
        <w:rPr>
          <w:rFonts w:ascii="Arial" w:hAnsi="Arial" w:cs="Arial"/>
          <w:bCs/>
          <w:iCs/>
          <w:sz w:val="20"/>
          <w:szCs w:val="20"/>
        </w:rPr>
      </w:pPr>
      <w:r w:rsidRPr="00587261">
        <w:rPr>
          <w:rFonts w:ascii="Arial" w:hAnsi="Arial" w:cs="Arial"/>
          <w:bCs/>
          <w:iCs/>
          <w:sz w:val="20"/>
          <w:szCs w:val="20"/>
        </w:rPr>
        <w:t>CITYSIGHTSEEING SRL</w:t>
      </w:r>
    </w:p>
    <w:p w14:paraId="0BC7F2B3" w14:textId="77777777" w:rsidR="00587261" w:rsidRPr="00587261" w:rsidRDefault="00587261" w:rsidP="001629CA">
      <w:pPr>
        <w:numPr>
          <w:ilvl w:val="1"/>
          <w:numId w:val="10"/>
        </w:numPr>
        <w:spacing w:line="360" w:lineRule="auto"/>
        <w:jc w:val="both"/>
        <w:rPr>
          <w:rFonts w:ascii="Arial" w:hAnsi="Arial" w:cs="Arial"/>
          <w:bCs/>
          <w:iCs/>
          <w:sz w:val="20"/>
          <w:szCs w:val="20"/>
        </w:rPr>
      </w:pPr>
      <w:r w:rsidRPr="00587261">
        <w:rPr>
          <w:rFonts w:ascii="Arial" w:hAnsi="Arial" w:cs="Arial"/>
          <w:bCs/>
          <w:iCs/>
          <w:sz w:val="20"/>
          <w:szCs w:val="20"/>
        </w:rPr>
        <w:t>ANM SPA</w:t>
      </w:r>
    </w:p>
    <w:p w14:paraId="10B67261" w14:textId="77777777" w:rsidR="00001890" w:rsidRPr="00001890" w:rsidRDefault="00001890" w:rsidP="00001890">
      <w:pPr>
        <w:spacing w:line="360" w:lineRule="auto"/>
        <w:jc w:val="both"/>
        <w:rPr>
          <w:rFonts w:ascii="Arial" w:hAnsi="Arial" w:cs="Arial"/>
          <w:bCs/>
          <w:iCs/>
          <w:sz w:val="20"/>
          <w:szCs w:val="20"/>
        </w:rPr>
      </w:pPr>
      <w:r w:rsidRPr="00001890">
        <w:rPr>
          <w:rFonts w:ascii="Arial" w:hAnsi="Arial" w:cs="Arial"/>
          <w:bCs/>
          <w:iCs/>
          <w:sz w:val="20"/>
          <w:szCs w:val="20"/>
        </w:rPr>
        <w:t>Nel 2004 è stato deliberato un aumento del capitale sociale a 300 €/000, sottoscritto e versato da ANM per la quota di partecipazione spettante al 26%, pari a 78 €/000.</w:t>
      </w:r>
    </w:p>
    <w:p w14:paraId="424EB34D" w14:textId="77777777" w:rsidR="00587261" w:rsidRDefault="00001890" w:rsidP="00001890">
      <w:pPr>
        <w:spacing w:line="360" w:lineRule="auto"/>
        <w:jc w:val="both"/>
        <w:rPr>
          <w:rFonts w:ascii="Arial" w:hAnsi="Arial" w:cs="Arial"/>
          <w:bCs/>
          <w:iCs/>
          <w:sz w:val="20"/>
          <w:szCs w:val="20"/>
        </w:rPr>
      </w:pPr>
      <w:r w:rsidRPr="00001890">
        <w:rPr>
          <w:rFonts w:ascii="Arial" w:hAnsi="Arial" w:cs="Arial"/>
          <w:bCs/>
          <w:iCs/>
          <w:sz w:val="20"/>
          <w:szCs w:val="20"/>
        </w:rPr>
        <w:t>Il bilancio della partecipata chiude con un utile di 310 euro\migliaia</w:t>
      </w:r>
      <w:r>
        <w:rPr>
          <w:rFonts w:ascii="Arial" w:hAnsi="Arial" w:cs="Arial"/>
          <w:bCs/>
          <w:iCs/>
          <w:sz w:val="20"/>
          <w:szCs w:val="20"/>
        </w:rPr>
        <w:t xml:space="preserve">. </w:t>
      </w:r>
      <w:r w:rsidR="00587261" w:rsidRPr="00587261">
        <w:rPr>
          <w:rFonts w:ascii="Arial" w:hAnsi="Arial" w:cs="Arial"/>
          <w:bCs/>
          <w:iCs/>
          <w:sz w:val="20"/>
          <w:szCs w:val="20"/>
        </w:rPr>
        <w:t>Non risultano intervenute movimentazioni nella voce nel corso dell’esercizio.</w:t>
      </w:r>
    </w:p>
    <w:p w14:paraId="2266884C" w14:textId="77777777" w:rsidR="00215FEB" w:rsidRPr="00215FEB" w:rsidRDefault="00215FEB" w:rsidP="00215FEB">
      <w:pPr>
        <w:widowControl w:val="0"/>
        <w:spacing w:before="120" w:after="60"/>
        <w:jc w:val="both"/>
        <w:rPr>
          <w:rFonts w:ascii="Arial" w:hAnsi="Arial" w:cs="Arial"/>
          <w:b/>
          <w:bCs/>
          <w:sz w:val="20"/>
        </w:rPr>
      </w:pPr>
      <w:r w:rsidRPr="00215FEB">
        <w:rPr>
          <w:rFonts w:ascii="Arial" w:hAnsi="Arial" w:cs="Arial"/>
          <w:b/>
          <w:bCs/>
          <w:sz w:val="20"/>
        </w:rPr>
        <w:t>Crediti iscritti nelle immobilizzazioni finanziarie</w:t>
      </w:r>
    </w:p>
    <w:p w14:paraId="52878AEC" w14:textId="77777777" w:rsidR="00BE0F68" w:rsidRPr="00BE0F68" w:rsidRDefault="00BE0F68" w:rsidP="00BE0F68">
      <w:pPr>
        <w:autoSpaceDE w:val="0"/>
        <w:autoSpaceDN w:val="0"/>
        <w:adjustRightInd w:val="0"/>
        <w:rPr>
          <w:rFonts w:ascii="Arial" w:hAnsi="Arial" w:cs="Arial"/>
          <w:b/>
          <w:bCs/>
          <w:iCs/>
          <w:sz w:val="20"/>
          <w:szCs w:val="20"/>
        </w:rPr>
      </w:pPr>
    </w:p>
    <w:p w14:paraId="34E96C3B" w14:textId="77777777" w:rsidR="00BE0F68" w:rsidRPr="00BE0F68" w:rsidRDefault="00BE0F68" w:rsidP="00BE0F68">
      <w:pPr>
        <w:autoSpaceDE w:val="0"/>
        <w:autoSpaceDN w:val="0"/>
        <w:adjustRightInd w:val="0"/>
        <w:rPr>
          <w:rFonts w:ascii="Arial" w:hAnsi="Arial" w:cs="Arial"/>
          <w:b/>
          <w:bCs/>
          <w:sz w:val="20"/>
          <w:szCs w:val="20"/>
        </w:rPr>
      </w:pPr>
      <w:r w:rsidRPr="00BE0F68">
        <w:rPr>
          <w:rFonts w:ascii="Arial" w:hAnsi="Arial" w:cs="Arial"/>
          <w:b/>
          <w:bCs/>
          <w:iCs/>
          <w:sz w:val="20"/>
          <w:szCs w:val="20"/>
        </w:rPr>
        <w:t>d.bis) Verso altri</w:t>
      </w:r>
    </w:p>
    <w:p w14:paraId="79E9EDDE" w14:textId="40F93052" w:rsidR="00BE0F68" w:rsidRPr="00BE0F68" w:rsidRDefault="00BE0F68" w:rsidP="00BE0F68">
      <w:pPr>
        <w:autoSpaceDE w:val="0"/>
        <w:autoSpaceDN w:val="0"/>
        <w:adjustRightInd w:val="0"/>
        <w:rPr>
          <w:rFonts w:ascii="Times" w:hAnsi="Times" w:cs="Times"/>
          <w:b/>
          <w:bCs/>
          <w:sz w:val="20"/>
          <w:szCs w:val="20"/>
        </w:rPr>
      </w:pPr>
      <w:r w:rsidRPr="00BE0F68">
        <w:rPr>
          <w:rFonts w:ascii="Times" w:hAnsi="Times" w:cs="Times"/>
          <w:b/>
          <w:bCs/>
          <w:i/>
          <w:sz w:val="20"/>
          <w:szCs w:val="20"/>
        </w:rPr>
        <w:t xml:space="preserve">                                                                                                                                               Euro/migliaia</w:t>
      </w:r>
    </w:p>
    <w:tbl>
      <w:tblPr>
        <w:tblW w:w="9072" w:type="dxa"/>
        <w:tblInd w:w="70" w:type="dxa"/>
        <w:tblLayout w:type="fixed"/>
        <w:tblCellMar>
          <w:left w:w="70" w:type="dxa"/>
          <w:right w:w="70" w:type="dxa"/>
        </w:tblCellMar>
        <w:tblLook w:val="0000" w:firstRow="0" w:lastRow="0" w:firstColumn="0" w:lastColumn="0" w:noHBand="0" w:noVBand="0"/>
      </w:tblPr>
      <w:tblGrid>
        <w:gridCol w:w="7230"/>
        <w:gridCol w:w="1842"/>
      </w:tblGrid>
      <w:tr w:rsidR="00BE0F68" w:rsidRPr="00BE0F68" w14:paraId="6C37CF54" w14:textId="77777777" w:rsidTr="00215FEB">
        <w:tc>
          <w:tcPr>
            <w:tcW w:w="7230" w:type="dxa"/>
          </w:tcPr>
          <w:p w14:paraId="1E576712" w14:textId="77777777" w:rsidR="00BE0F68" w:rsidRPr="00BE0F68" w:rsidRDefault="00BE0F68" w:rsidP="001629CA">
            <w:pPr>
              <w:numPr>
                <w:ilvl w:val="0"/>
                <w:numId w:val="10"/>
              </w:numPr>
              <w:autoSpaceDE w:val="0"/>
              <w:autoSpaceDN w:val="0"/>
              <w:adjustRightInd w:val="0"/>
              <w:rPr>
                <w:rFonts w:ascii="Times" w:hAnsi="Times" w:cs="Times"/>
                <w:b/>
                <w:bCs/>
                <w:sz w:val="20"/>
                <w:szCs w:val="20"/>
                <w:lang w:val="en-GB"/>
              </w:rPr>
            </w:pPr>
            <w:r w:rsidRPr="00BE0F68">
              <w:rPr>
                <w:rFonts w:ascii="Times" w:hAnsi="Times" w:cs="Times"/>
                <w:b/>
                <w:bCs/>
                <w:sz w:val="20"/>
                <w:szCs w:val="20"/>
                <w:lang w:val="en-GB"/>
              </w:rPr>
              <w:t>A.N.E.A.</w:t>
            </w:r>
          </w:p>
        </w:tc>
        <w:tc>
          <w:tcPr>
            <w:tcW w:w="1842" w:type="dxa"/>
          </w:tcPr>
          <w:p w14:paraId="1A19D61D" w14:textId="77777777" w:rsidR="00BE0F68" w:rsidRPr="00BE0F68" w:rsidRDefault="00BE0F68" w:rsidP="00BE0F68">
            <w:pPr>
              <w:autoSpaceDE w:val="0"/>
              <w:autoSpaceDN w:val="0"/>
              <w:adjustRightInd w:val="0"/>
              <w:rPr>
                <w:rFonts w:ascii="Times" w:hAnsi="Times" w:cs="Times"/>
                <w:b/>
                <w:bCs/>
                <w:sz w:val="20"/>
                <w:szCs w:val="20"/>
                <w:lang w:val="en-GB"/>
              </w:rPr>
            </w:pPr>
            <w:r w:rsidRPr="00BE0F68">
              <w:rPr>
                <w:rFonts w:ascii="Times" w:hAnsi="Times" w:cs="Times"/>
                <w:b/>
                <w:bCs/>
                <w:sz w:val="20"/>
                <w:szCs w:val="20"/>
                <w:lang w:val="en-GB"/>
              </w:rPr>
              <w:t xml:space="preserve">   54                                                        </w:t>
            </w:r>
          </w:p>
        </w:tc>
      </w:tr>
    </w:tbl>
    <w:p w14:paraId="3419BD95" w14:textId="77777777" w:rsidR="00001890" w:rsidRPr="00CE6109" w:rsidRDefault="00001890" w:rsidP="00001890">
      <w:pPr>
        <w:widowControl w:val="0"/>
        <w:spacing w:before="120"/>
        <w:jc w:val="both"/>
        <w:rPr>
          <w:rFonts w:ascii="Arial" w:hAnsi="Arial" w:cs="Arial"/>
          <w:bCs/>
          <w:iCs/>
          <w:sz w:val="20"/>
          <w:szCs w:val="20"/>
        </w:rPr>
      </w:pPr>
      <w:r w:rsidRPr="00CE6109">
        <w:rPr>
          <w:rFonts w:ascii="Arial" w:hAnsi="Arial" w:cs="Arial"/>
          <w:bCs/>
          <w:iCs/>
          <w:sz w:val="20"/>
          <w:szCs w:val="20"/>
        </w:rPr>
        <w:t>Il Consorzio è sorto con lo scopo di migliorare e promuovere l’efficienza ed il risparmio energetico al fine di minimizzare il fabbisogno di energia, coinvolgendo i principali soggetti operanti nel settore dell’edilizia, industria, trasporti, sfruttando fonti a minimo impatto ambientale e ricercando condizioni ottimali di approvvigionamento energetico della città di Napoli e aree urbane circostanti.</w:t>
      </w:r>
    </w:p>
    <w:p w14:paraId="5A8ABE8A" w14:textId="77777777" w:rsidR="00001890" w:rsidRPr="00CE6109" w:rsidRDefault="00001890" w:rsidP="00001890">
      <w:pPr>
        <w:widowControl w:val="0"/>
        <w:ind w:right="1"/>
        <w:jc w:val="both"/>
        <w:rPr>
          <w:rFonts w:ascii="Arial" w:hAnsi="Arial" w:cs="Arial"/>
          <w:bCs/>
          <w:iCs/>
          <w:sz w:val="20"/>
          <w:szCs w:val="20"/>
        </w:rPr>
      </w:pPr>
      <w:r w:rsidRPr="00CE6109">
        <w:rPr>
          <w:rFonts w:ascii="Arial" w:hAnsi="Arial" w:cs="Arial"/>
          <w:bCs/>
          <w:iCs/>
          <w:sz w:val="20"/>
          <w:szCs w:val="20"/>
        </w:rPr>
        <w:t>L'importo iscritto in bilancio si riferisce alla quota di fondo consortile sottoscritta</w:t>
      </w:r>
    </w:p>
    <w:p w14:paraId="17BCA3EE" w14:textId="77777777" w:rsidR="00001890" w:rsidRDefault="00001890" w:rsidP="00001890">
      <w:pPr>
        <w:widowControl w:val="0"/>
        <w:ind w:right="1"/>
        <w:jc w:val="both"/>
        <w:rPr>
          <w:rFonts w:ascii="Arial" w:hAnsi="Arial" w:cs="Arial"/>
          <w:bCs/>
          <w:iCs/>
          <w:sz w:val="20"/>
          <w:szCs w:val="20"/>
        </w:rPr>
      </w:pPr>
      <w:r w:rsidRPr="00CE6109">
        <w:rPr>
          <w:rFonts w:ascii="Arial" w:hAnsi="Arial" w:cs="Arial"/>
          <w:bCs/>
          <w:iCs/>
          <w:sz w:val="20"/>
          <w:szCs w:val="20"/>
        </w:rPr>
        <w:t>dall'Azienda nel Consorzio, senza scopo di lucro, del valore nominale di 54 €/000.</w:t>
      </w:r>
    </w:p>
    <w:p w14:paraId="3AE9953D" w14:textId="77777777" w:rsidR="00FA68F4" w:rsidRDefault="00FA68F4" w:rsidP="00001890">
      <w:pPr>
        <w:widowControl w:val="0"/>
        <w:ind w:right="1"/>
        <w:jc w:val="both"/>
        <w:rPr>
          <w:rFonts w:ascii="Arial" w:hAnsi="Arial" w:cs="Arial"/>
          <w:bCs/>
          <w:iCs/>
          <w:sz w:val="20"/>
          <w:szCs w:val="20"/>
        </w:rPr>
      </w:pPr>
    </w:p>
    <w:p w14:paraId="125954E1" w14:textId="32BF9B6C" w:rsidR="00001890" w:rsidRDefault="00FA68F4" w:rsidP="00CE6109">
      <w:pPr>
        <w:widowControl w:val="0"/>
        <w:spacing w:before="120" w:after="120"/>
        <w:jc w:val="both"/>
        <w:rPr>
          <w:rFonts w:ascii="Times" w:hAnsi="Times" w:cs="Times"/>
          <w:sz w:val="20"/>
          <w:szCs w:val="20"/>
        </w:rPr>
      </w:pPr>
      <w:r w:rsidRPr="00CE6109">
        <w:rPr>
          <w:rFonts w:ascii="Arial" w:hAnsi="Arial" w:cs="Arial"/>
          <w:b/>
          <w:snapToGrid w:val="0"/>
          <w:sz w:val="22"/>
          <w:szCs w:val="22"/>
        </w:rPr>
        <w:t>Rimanenze</w:t>
      </w:r>
    </w:p>
    <w:tbl>
      <w:tblPr>
        <w:tblW w:w="8420" w:type="dxa"/>
        <w:tblInd w:w="70" w:type="dxa"/>
        <w:tblCellMar>
          <w:left w:w="70" w:type="dxa"/>
          <w:right w:w="70" w:type="dxa"/>
        </w:tblCellMar>
        <w:tblLook w:val="04A0" w:firstRow="1" w:lastRow="0" w:firstColumn="1" w:lastColumn="0" w:noHBand="0" w:noVBand="1"/>
      </w:tblPr>
      <w:tblGrid>
        <w:gridCol w:w="2780"/>
        <w:gridCol w:w="280"/>
        <w:gridCol w:w="3700"/>
        <w:gridCol w:w="1660"/>
      </w:tblGrid>
      <w:tr w:rsidR="009B06C5" w14:paraId="584E28C9" w14:textId="77777777" w:rsidTr="009B06C5">
        <w:trPr>
          <w:trHeight w:val="300"/>
        </w:trPr>
        <w:tc>
          <w:tcPr>
            <w:tcW w:w="2780" w:type="dxa"/>
            <w:tcBorders>
              <w:top w:val="nil"/>
              <w:left w:val="nil"/>
              <w:bottom w:val="single" w:sz="8" w:space="0" w:color="auto"/>
              <w:right w:val="nil"/>
            </w:tcBorders>
            <w:shd w:val="clear" w:color="auto" w:fill="auto"/>
            <w:vAlign w:val="center"/>
            <w:hideMark/>
          </w:tcPr>
          <w:p w14:paraId="0819E51A" w14:textId="77777777" w:rsidR="009B06C5" w:rsidRDefault="009B06C5">
            <w:pPr>
              <w:jc w:val="both"/>
              <w:rPr>
                <w:b/>
                <w:bCs/>
                <w:sz w:val="22"/>
                <w:szCs w:val="22"/>
              </w:rPr>
            </w:pPr>
            <w:r>
              <w:rPr>
                <w:b/>
                <w:bCs/>
                <w:sz w:val="22"/>
                <w:szCs w:val="22"/>
              </w:rPr>
              <w:t> </w:t>
            </w:r>
          </w:p>
        </w:tc>
        <w:tc>
          <w:tcPr>
            <w:tcW w:w="280" w:type="dxa"/>
            <w:tcBorders>
              <w:top w:val="nil"/>
              <w:left w:val="nil"/>
              <w:bottom w:val="nil"/>
              <w:right w:val="nil"/>
            </w:tcBorders>
            <w:shd w:val="clear" w:color="auto" w:fill="auto"/>
            <w:vAlign w:val="center"/>
            <w:hideMark/>
          </w:tcPr>
          <w:p w14:paraId="6476D41C" w14:textId="77777777" w:rsidR="009B06C5" w:rsidRDefault="009B06C5">
            <w:pPr>
              <w:jc w:val="both"/>
              <w:rPr>
                <w:b/>
                <w:bCs/>
                <w:sz w:val="22"/>
                <w:szCs w:val="22"/>
              </w:rPr>
            </w:pPr>
          </w:p>
        </w:tc>
        <w:tc>
          <w:tcPr>
            <w:tcW w:w="3700" w:type="dxa"/>
            <w:tcBorders>
              <w:top w:val="nil"/>
              <w:left w:val="nil"/>
              <w:bottom w:val="single" w:sz="8" w:space="0" w:color="auto"/>
              <w:right w:val="nil"/>
            </w:tcBorders>
            <w:shd w:val="clear" w:color="auto" w:fill="auto"/>
            <w:vAlign w:val="center"/>
            <w:hideMark/>
          </w:tcPr>
          <w:p w14:paraId="3DB422D2" w14:textId="7BBA4BB5" w:rsidR="009B06C5" w:rsidRDefault="009B06C5">
            <w:pPr>
              <w:jc w:val="center"/>
              <w:rPr>
                <w:i/>
                <w:iCs/>
                <w:sz w:val="20"/>
                <w:szCs w:val="20"/>
              </w:rPr>
            </w:pPr>
            <w:r>
              <w:rPr>
                <w:i/>
                <w:iCs/>
                <w:sz w:val="20"/>
                <w:szCs w:val="20"/>
              </w:rPr>
              <w:t>Euro/migliaia</w:t>
            </w:r>
          </w:p>
        </w:tc>
        <w:tc>
          <w:tcPr>
            <w:tcW w:w="1660" w:type="dxa"/>
            <w:tcBorders>
              <w:top w:val="nil"/>
              <w:left w:val="nil"/>
              <w:bottom w:val="single" w:sz="8" w:space="0" w:color="auto"/>
              <w:right w:val="nil"/>
            </w:tcBorders>
            <w:shd w:val="clear" w:color="auto" w:fill="auto"/>
            <w:vAlign w:val="center"/>
            <w:hideMark/>
          </w:tcPr>
          <w:p w14:paraId="42A8944D" w14:textId="34F757EA" w:rsidR="009B06C5" w:rsidRDefault="009B06C5">
            <w:pPr>
              <w:jc w:val="center"/>
              <w:rPr>
                <w:i/>
                <w:iCs/>
                <w:sz w:val="20"/>
                <w:szCs w:val="20"/>
              </w:rPr>
            </w:pPr>
            <w:r>
              <w:rPr>
                <w:i/>
                <w:iCs/>
                <w:sz w:val="20"/>
                <w:szCs w:val="20"/>
              </w:rPr>
              <w:t>Euro/migliaia</w:t>
            </w:r>
          </w:p>
        </w:tc>
      </w:tr>
      <w:tr w:rsidR="009B06C5" w14:paraId="0F84F65B" w14:textId="77777777" w:rsidTr="009B06C5">
        <w:trPr>
          <w:trHeight w:val="300"/>
        </w:trPr>
        <w:tc>
          <w:tcPr>
            <w:tcW w:w="2780" w:type="dxa"/>
            <w:tcBorders>
              <w:top w:val="nil"/>
              <w:left w:val="nil"/>
              <w:bottom w:val="single" w:sz="8" w:space="0" w:color="auto"/>
              <w:right w:val="nil"/>
            </w:tcBorders>
            <w:shd w:val="clear" w:color="auto" w:fill="auto"/>
            <w:vAlign w:val="center"/>
            <w:hideMark/>
          </w:tcPr>
          <w:p w14:paraId="497F868E" w14:textId="77777777" w:rsidR="009B06C5" w:rsidRDefault="009B06C5">
            <w:pPr>
              <w:jc w:val="both"/>
              <w:rPr>
                <w:b/>
                <w:bCs/>
                <w:sz w:val="22"/>
                <w:szCs w:val="22"/>
              </w:rPr>
            </w:pPr>
            <w:r>
              <w:rPr>
                <w:b/>
                <w:bCs/>
                <w:sz w:val="22"/>
                <w:szCs w:val="22"/>
              </w:rPr>
              <w:t> </w:t>
            </w:r>
          </w:p>
        </w:tc>
        <w:tc>
          <w:tcPr>
            <w:tcW w:w="280" w:type="dxa"/>
            <w:tcBorders>
              <w:top w:val="nil"/>
              <w:left w:val="nil"/>
              <w:bottom w:val="nil"/>
              <w:right w:val="nil"/>
            </w:tcBorders>
            <w:shd w:val="clear" w:color="auto" w:fill="auto"/>
            <w:vAlign w:val="center"/>
            <w:hideMark/>
          </w:tcPr>
          <w:p w14:paraId="3C59BFC4" w14:textId="77777777" w:rsidR="009B06C5" w:rsidRDefault="009B06C5">
            <w:pPr>
              <w:jc w:val="both"/>
              <w:rPr>
                <w:b/>
                <w:bCs/>
                <w:sz w:val="22"/>
                <w:szCs w:val="22"/>
              </w:rPr>
            </w:pPr>
          </w:p>
        </w:tc>
        <w:tc>
          <w:tcPr>
            <w:tcW w:w="3700" w:type="dxa"/>
            <w:tcBorders>
              <w:top w:val="nil"/>
              <w:left w:val="nil"/>
              <w:bottom w:val="single" w:sz="8" w:space="0" w:color="auto"/>
              <w:right w:val="nil"/>
            </w:tcBorders>
            <w:shd w:val="clear" w:color="auto" w:fill="auto"/>
            <w:vAlign w:val="center"/>
            <w:hideMark/>
          </w:tcPr>
          <w:p w14:paraId="5A1E954C" w14:textId="77777777" w:rsidR="009B06C5" w:rsidRDefault="009B06C5">
            <w:pPr>
              <w:jc w:val="center"/>
              <w:rPr>
                <w:b/>
                <w:bCs/>
                <w:sz w:val="22"/>
                <w:szCs w:val="22"/>
              </w:rPr>
            </w:pPr>
            <w:r>
              <w:rPr>
                <w:b/>
                <w:bCs/>
                <w:sz w:val="22"/>
                <w:szCs w:val="22"/>
              </w:rPr>
              <w:t>Esercizio 19</w:t>
            </w:r>
          </w:p>
        </w:tc>
        <w:tc>
          <w:tcPr>
            <w:tcW w:w="1660" w:type="dxa"/>
            <w:tcBorders>
              <w:top w:val="nil"/>
              <w:left w:val="nil"/>
              <w:bottom w:val="single" w:sz="8" w:space="0" w:color="auto"/>
              <w:right w:val="nil"/>
            </w:tcBorders>
            <w:shd w:val="clear" w:color="auto" w:fill="auto"/>
            <w:vAlign w:val="center"/>
            <w:hideMark/>
          </w:tcPr>
          <w:p w14:paraId="62526F4E" w14:textId="77777777" w:rsidR="009B06C5" w:rsidRDefault="009B06C5">
            <w:pPr>
              <w:jc w:val="center"/>
              <w:rPr>
                <w:b/>
                <w:bCs/>
                <w:sz w:val="22"/>
                <w:szCs w:val="22"/>
              </w:rPr>
            </w:pPr>
            <w:r>
              <w:rPr>
                <w:b/>
                <w:bCs/>
                <w:sz w:val="22"/>
                <w:szCs w:val="22"/>
              </w:rPr>
              <w:t>Esercizio 18</w:t>
            </w:r>
          </w:p>
        </w:tc>
      </w:tr>
      <w:tr w:rsidR="009B06C5" w14:paraId="03DDFE20" w14:textId="77777777" w:rsidTr="009B06C5">
        <w:trPr>
          <w:trHeight w:val="285"/>
        </w:trPr>
        <w:tc>
          <w:tcPr>
            <w:tcW w:w="2780" w:type="dxa"/>
            <w:tcBorders>
              <w:top w:val="nil"/>
              <w:left w:val="nil"/>
              <w:bottom w:val="nil"/>
              <w:right w:val="nil"/>
            </w:tcBorders>
            <w:shd w:val="clear" w:color="auto" w:fill="auto"/>
            <w:vAlign w:val="center"/>
            <w:hideMark/>
          </w:tcPr>
          <w:p w14:paraId="7AEBAD90" w14:textId="77777777" w:rsidR="009B06C5" w:rsidRDefault="009B06C5">
            <w:pPr>
              <w:jc w:val="both"/>
              <w:rPr>
                <w:b/>
                <w:bCs/>
                <w:sz w:val="22"/>
                <w:szCs w:val="22"/>
              </w:rPr>
            </w:pPr>
            <w:r>
              <w:rPr>
                <w:b/>
                <w:bCs/>
                <w:sz w:val="22"/>
                <w:szCs w:val="22"/>
              </w:rPr>
              <w:t>I. RIMANENZE:</w:t>
            </w:r>
          </w:p>
        </w:tc>
        <w:tc>
          <w:tcPr>
            <w:tcW w:w="280" w:type="dxa"/>
            <w:vMerge w:val="restart"/>
            <w:tcBorders>
              <w:top w:val="nil"/>
              <w:left w:val="nil"/>
              <w:bottom w:val="nil"/>
              <w:right w:val="nil"/>
            </w:tcBorders>
            <w:shd w:val="clear" w:color="auto" w:fill="auto"/>
            <w:vAlign w:val="center"/>
            <w:hideMark/>
          </w:tcPr>
          <w:p w14:paraId="3E6E6978" w14:textId="77777777" w:rsidR="009B06C5" w:rsidRDefault="009B06C5">
            <w:pPr>
              <w:jc w:val="both"/>
              <w:rPr>
                <w:b/>
                <w:bCs/>
                <w:sz w:val="22"/>
                <w:szCs w:val="22"/>
              </w:rPr>
            </w:pPr>
          </w:p>
        </w:tc>
        <w:tc>
          <w:tcPr>
            <w:tcW w:w="3700" w:type="dxa"/>
            <w:tcBorders>
              <w:top w:val="nil"/>
              <w:left w:val="nil"/>
              <w:bottom w:val="nil"/>
              <w:right w:val="nil"/>
            </w:tcBorders>
            <w:shd w:val="clear" w:color="auto" w:fill="auto"/>
            <w:vAlign w:val="center"/>
            <w:hideMark/>
          </w:tcPr>
          <w:p w14:paraId="2CD0F9AF" w14:textId="77777777" w:rsidR="009B06C5" w:rsidRDefault="009B06C5">
            <w:pPr>
              <w:jc w:val="center"/>
              <w:rPr>
                <w:b/>
                <w:bCs/>
                <w:sz w:val="22"/>
                <w:szCs w:val="22"/>
              </w:rPr>
            </w:pPr>
            <w:r>
              <w:rPr>
                <w:b/>
                <w:bCs/>
                <w:sz w:val="22"/>
                <w:szCs w:val="22"/>
              </w:rPr>
              <w:t>5.676</w:t>
            </w:r>
          </w:p>
        </w:tc>
        <w:tc>
          <w:tcPr>
            <w:tcW w:w="1660" w:type="dxa"/>
            <w:tcBorders>
              <w:top w:val="nil"/>
              <w:left w:val="nil"/>
              <w:bottom w:val="nil"/>
              <w:right w:val="nil"/>
            </w:tcBorders>
            <w:shd w:val="clear" w:color="auto" w:fill="auto"/>
            <w:vAlign w:val="center"/>
            <w:hideMark/>
          </w:tcPr>
          <w:p w14:paraId="6807874A" w14:textId="77777777" w:rsidR="009B06C5" w:rsidRDefault="009B06C5">
            <w:pPr>
              <w:jc w:val="center"/>
              <w:rPr>
                <w:b/>
                <w:bCs/>
                <w:sz w:val="22"/>
                <w:szCs w:val="22"/>
              </w:rPr>
            </w:pPr>
            <w:r>
              <w:rPr>
                <w:b/>
                <w:bCs/>
                <w:sz w:val="22"/>
                <w:szCs w:val="22"/>
              </w:rPr>
              <w:t>5.313</w:t>
            </w:r>
          </w:p>
        </w:tc>
      </w:tr>
      <w:tr w:rsidR="009B06C5" w14:paraId="0289820C" w14:textId="77777777" w:rsidTr="009B06C5">
        <w:trPr>
          <w:trHeight w:val="300"/>
        </w:trPr>
        <w:tc>
          <w:tcPr>
            <w:tcW w:w="2780" w:type="dxa"/>
            <w:tcBorders>
              <w:top w:val="nil"/>
              <w:left w:val="nil"/>
              <w:bottom w:val="nil"/>
              <w:right w:val="nil"/>
            </w:tcBorders>
            <w:shd w:val="clear" w:color="auto" w:fill="auto"/>
            <w:vAlign w:val="center"/>
            <w:hideMark/>
          </w:tcPr>
          <w:p w14:paraId="766AB5BD" w14:textId="77777777" w:rsidR="009B06C5" w:rsidRDefault="009B06C5">
            <w:pPr>
              <w:jc w:val="both"/>
              <w:rPr>
                <w:sz w:val="22"/>
                <w:szCs w:val="22"/>
              </w:rPr>
            </w:pPr>
            <w:r>
              <w:rPr>
                <w:sz w:val="22"/>
                <w:szCs w:val="22"/>
              </w:rPr>
              <w:lastRenderedPageBreak/>
              <w:t>1)</w:t>
            </w:r>
            <w:r>
              <w:rPr>
                <w:b/>
                <w:bCs/>
                <w:sz w:val="22"/>
                <w:szCs w:val="22"/>
              </w:rPr>
              <w:t xml:space="preserve"> </w:t>
            </w:r>
            <w:r>
              <w:rPr>
                <w:sz w:val="22"/>
                <w:szCs w:val="22"/>
              </w:rPr>
              <w:t>Rimanenze finali</w:t>
            </w:r>
          </w:p>
        </w:tc>
        <w:tc>
          <w:tcPr>
            <w:tcW w:w="280" w:type="dxa"/>
            <w:vMerge/>
            <w:tcBorders>
              <w:top w:val="nil"/>
              <w:left w:val="nil"/>
              <w:bottom w:val="nil"/>
              <w:right w:val="nil"/>
            </w:tcBorders>
            <w:vAlign w:val="center"/>
            <w:hideMark/>
          </w:tcPr>
          <w:p w14:paraId="76CB02A0" w14:textId="77777777" w:rsidR="009B06C5" w:rsidRDefault="009B06C5">
            <w:pPr>
              <w:rPr>
                <w:b/>
                <w:bCs/>
                <w:sz w:val="22"/>
                <w:szCs w:val="22"/>
              </w:rPr>
            </w:pPr>
          </w:p>
        </w:tc>
        <w:tc>
          <w:tcPr>
            <w:tcW w:w="3700" w:type="dxa"/>
            <w:tcBorders>
              <w:top w:val="nil"/>
              <w:left w:val="nil"/>
              <w:bottom w:val="nil"/>
              <w:right w:val="nil"/>
            </w:tcBorders>
            <w:shd w:val="clear" w:color="auto" w:fill="auto"/>
            <w:vAlign w:val="center"/>
            <w:hideMark/>
          </w:tcPr>
          <w:p w14:paraId="6530B4C6" w14:textId="77777777" w:rsidR="009B06C5" w:rsidRDefault="009B06C5">
            <w:pPr>
              <w:jc w:val="center"/>
              <w:rPr>
                <w:sz w:val="22"/>
                <w:szCs w:val="22"/>
              </w:rPr>
            </w:pPr>
            <w:r>
              <w:rPr>
                <w:sz w:val="22"/>
                <w:szCs w:val="22"/>
              </w:rPr>
              <w:t>6.650</w:t>
            </w:r>
          </w:p>
        </w:tc>
        <w:tc>
          <w:tcPr>
            <w:tcW w:w="1660" w:type="dxa"/>
            <w:tcBorders>
              <w:top w:val="nil"/>
              <w:left w:val="nil"/>
              <w:bottom w:val="nil"/>
              <w:right w:val="nil"/>
            </w:tcBorders>
            <w:shd w:val="clear" w:color="auto" w:fill="auto"/>
            <w:vAlign w:val="center"/>
            <w:hideMark/>
          </w:tcPr>
          <w:p w14:paraId="18940B7D" w14:textId="77777777" w:rsidR="009B06C5" w:rsidRDefault="009B06C5">
            <w:pPr>
              <w:jc w:val="center"/>
              <w:rPr>
                <w:sz w:val="22"/>
                <w:szCs w:val="22"/>
              </w:rPr>
            </w:pPr>
            <w:r>
              <w:rPr>
                <w:sz w:val="22"/>
                <w:szCs w:val="22"/>
              </w:rPr>
              <w:t>6.288</w:t>
            </w:r>
          </w:p>
        </w:tc>
      </w:tr>
      <w:tr w:rsidR="009B06C5" w14:paraId="36BF1851" w14:textId="77777777" w:rsidTr="009B06C5">
        <w:trPr>
          <w:trHeight w:val="315"/>
        </w:trPr>
        <w:tc>
          <w:tcPr>
            <w:tcW w:w="2780" w:type="dxa"/>
            <w:tcBorders>
              <w:top w:val="nil"/>
              <w:left w:val="nil"/>
              <w:bottom w:val="double" w:sz="6" w:space="0" w:color="auto"/>
              <w:right w:val="nil"/>
            </w:tcBorders>
            <w:shd w:val="clear" w:color="auto" w:fill="auto"/>
            <w:vAlign w:val="center"/>
            <w:hideMark/>
          </w:tcPr>
          <w:p w14:paraId="704EAC58" w14:textId="77777777" w:rsidR="009B06C5" w:rsidRDefault="009B06C5">
            <w:pPr>
              <w:jc w:val="both"/>
              <w:rPr>
                <w:sz w:val="22"/>
                <w:szCs w:val="22"/>
              </w:rPr>
            </w:pPr>
            <w:r>
              <w:rPr>
                <w:sz w:val="22"/>
                <w:szCs w:val="22"/>
              </w:rPr>
              <w:t xml:space="preserve">  - Fondo svalutazione</w:t>
            </w:r>
          </w:p>
        </w:tc>
        <w:tc>
          <w:tcPr>
            <w:tcW w:w="280" w:type="dxa"/>
            <w:vMerge/>
            <w:tcBorders>
              <w:top w:val="nil"/>
              <w:left w:val="nil"/>
              <w:bottom w:val="nil"/>
              <w:right w:val="nil"/>
            </w:tcBorders>
            <w:vAlign w:val="center"/>
            <w:hideMark/>
          </w:tcPr>
          <w:p w14:paraId="1536AFB3" w14:textId="77777777" w:rsidR="009B06C5" w:rsidRDefault="009B06C5">
            <w:pPr>
              <w:rPr>
                <w:b/>
                <w:bCs/>
                <w:sz w:val="22"/>
                <w:szCs w:val="22"/>
              </w:rPr>
            </w:pPr>
          </w:p>
        </w:tc>
        <w:tc>
          <w:tcPr>
            <w:tcW w:w="3700" w:type="dxa"/>
            <w:tcBorders>
              <w:top w:val="nil"/>
              <w:left w:val="nil"/>
              <w:bottom w:val="double" w:sz="6" w:space="0" w:color="auto"/>
              <w:right w:val="nil"/>
            </w:tcBorders>
            <w:shd w:val="clear" w:color="auto" w:fill="auto"/>
            <w:vAlign w:val="center"/>
            <w:hideMark/>
          </w:tcPr>
          <w:p w14:paraId="6DFF16A7" w14:textId="77777777" w:rsidR="009B06C5" w:rsidRDefault="009B06C5">
            <w:pPr>
              <w:jc w:val="center"/>
              <w:rPr>
                <w:sz w:val="22"/>
                <w:szCs w:val="22"/>
              </w:rPr>
            </w:pPr>
            <w:r>
              <w:rPr>
                <w:sz w:val="22"/>
                <w:szCs w:val="22"/>
              </w:rPr>
              <w:t>-974</w:t>
            </w:r>
          </w:p>
        </w:tc>
        <w:tc>
          <w:tcPr>
            <w:tcW w:w="1660" w:type="dxa"/>
            <w:tcBorders>
              <w:top w:val="nil"/>
              <w:left w:val="nil"/>
              <w:bottom w:val="double" w:sz="6" w:space="0" w:color="auto"/>
              <w:right w:val="nil"/>
            </w:tcBorders>
            <w:shd w:val="clear" w:color="auto" w:fill="auto"/>
            <w:vAlign w:val="center"/>
            <w:hideMark/>
          </w:tcPr>
          <w:p w14:paraId="6E150072" w14:textId="77777777" w:rsidR="009B06C5" w:rsidRDefault="009B06C5">
            <w:pPr>
              <w:jc w:val="center"/>
              <w:rPr>
                <w:sz w:val="22"/>
                <w:szCs w:val="22"/>
              </w:rPr>
            </w:pPr>
            <w:r>
              <w:rPr>
                <w:sz w:val="22"/>
                <w:szCs w:val="22"/>
              </w:rPr>
              <w:t>-974</w:t>
            </w:r>
          </w:p>
        </w:tc>
      </w:tr>
    </w:tbl>
    <w:p w14:paraId="5C149B7D" w14:textId="77777777" w:rsidR="009B06C5" w:rsidRDefault="009B06C5" w:rsidP="00587261">
      <w:pPr>
        <w:widowControl w:val="0"/>
        <w:ind w:right="1"/>
        <w:jc w:val="both"/>
        <w:rPr>
          <w:rFonts w:ascii="Times" w:hAnsi="Times" w:cs="Times"/>
          <w:sz w:val="20"/>
          <w:szCs w:val="20"/>
        </w:rPr>
      </w:pPr>
    </w:p>
    <w:p w14:paraId="1D9DEFDE" w14:textId="77777777" w:rsidR="00A474BC" w:rsidRDefault="00A474BC" w:rsidP="00526C0B">
      <w:pPr>
        <w:widowControl w:val="0"/>
        <w:tabs>
          <w:tab w:val="left" w:pos="1995"/>
        </w:tabs>
        <w:spacing w:after="120"/>
        <w:jc w:val="both"/>
        <w:rPr>
          <w:rFonts w:ascii="Arial" w:hAnsi="Arial" w:cs="Arial"/>
          <w:snapToGrid w:val="0"/>
          <w:sz w:val="20"/>
          <w:highlight w:val="yellow"/>
        </w:rPr>
      </w:pPr>
    </w:p>
    <w:p w14:paraId="4F07C8E0" w14:textId="77777777" w:rsidR="00A474BC" w:rsidRPr="00A474BC" w:rsidRDefault="00A474BC" w:rsidP="00526C0B">
      <w:pPr>
        <w:widowControl w:val="0"/>
        <w:tabs>
          <w:tab w:val="left" w:pos="1995"/>
        </w:tabs>
        <w:spacing w:after="120"/>
        <w:jc w:val="both"/>
        <w:rPr>
          <w:rFonts w:ascii="Arial" w:hAnsi="Arial" w:cs="Arial"/>
          <w:snapToGrid w:val="0"/>
          <w:sz w:val="20"/>
        </w:rPr>
      </w:pPr>
      <w:r w:rsidRPr="00A474BC">
        <w:rPr>
          <w:rFonts w:ascii="Arial" w:hAnsi="Arial" w:cs="Arial"/>
          <w:snapToGrid w:val="0"/>
          <w:sz w:val="20"/>
        </w:rPr>
        <w:t>Le rimanenze di magazzino ammontano al 31 dicembre 201</w:t>
      </w:r>
      <w:r w:rsidR="00240C32">
        <w:rPr>
          <w:rFonts w:ascii="Arial" w:hAnsi="Arial" w:cs="Arial"/>
          <w:snapToGrid w:val="0"/>
          <w:sz w:val="20"/>
        </w:rPr>
        <w:t>9</w:t>
      </w:r>
      <w:r w:rsidRPr="00A474BC">
        <w:rPr>
          <w:rFonts w:ascii="Arial" w:hAnsi="Arial" w:cs="Arial"/>
          <w:snapToGrid w:val="0"/>
          <w:sz w:val="20"/>
        </w:rPr>
        <w:t xml:space="preserve"> a 5.</w:t>
      </w:r>
      <w:r w:rsidR="004170A8">
        <w:rPr>
          <w:rFonts w:ascii="Arial" w:hAnsi="Arial" w:cs="Arial"/>
          <w:snapToGrid w:val="0"/>
          <w:sz w:val="20"/>
        </w:rPr>
        <w:t>676</w:t>
      </w:r>
      <w:r w:rsidRPr="00A474BC">
        <w:rPr>
          <w:rFonts w:ascii="Arial" w:hAnsi="Arial" w:cs="Arial"/>
          <w:snapToGrid w:val="0"/>
          <w:sz w:val="20"/>
        </w:rPr>
        <w:t xml:space="preserve"> €/000 al netto di un fondo svalutazione delle scorte pari a 974 €/000 e sono di esclusiva pertinenza della ANM.</w:t>
      </w:r>
    </w:p>
    <w:p w14:paraId="78B2202C" w14:textId="1FB47BFC" w:rsidR="004170A8" w:rsidRPr="004170A8" w:rsidRDefault="004170A8" w:rsidP="004170A8">
      <w:pPr>
        <w:widowControl w:val="0"/>
        <w:tabs>
          <w:tab w:val="left" w:pos="1995"/>
        </w:tabs>
        <w:spacing w:after="120"/>
        <w:jc w:val="both"/>
        <w:rPr>
          <w:rFonts w:ascii="Arial" w:hAnsi="Arial" w:cs="Arial"/>
          <w:bCs/>
          <w:snapToGrid w:val="0"/>
          <w:sz w:val="20"/>
        </w:rPr>
      </w:pPr>
      <w:r w:rsidRPr="004170A8">
        <w:rPr>
          <w:rFonts w:ascii="Arial" w:hAnsi="Arial" w:cs="Arial"/>
          <w:bCs/>
          <w:snapToGrid w:val="0"/>
          <w:sz w:val="20"/>
        </w:rPr>
        <w:t>Le giacenze iscritte in bilancio includono le rimanenze di magazzino presso gli stabilimenti e magazzini della società</w:t>
      </w:r>
      <w:r w:rsidR="002A4703">
        <w:rPr>
          <w:rFonts w:ascii="Arial" w:hAnsi="Arial" w:cs="Arial"/>
          <w:bCs/>
          <w:snapToGrid w:val="0"/>
          <w:sz w:val="20"/>
        </w:rPr>
        <w:t xml:space="preserve"> controllata</w:t>
      </w:r>
      <w:r w:rsidRPr="004170A8">
        <w:rPr>
          <w:rFonts w:ascii="Arial" w:hAnsi="Arial" w:cs="Arial"/>
          <w:bCs/>
          <w:snapToGrid w:val="0"/>
          <w:sz w:val="20"/>
        </w:rPr>
        <w:t xml:space="preserve">. </w:t>
      </w:r>
    </w:p>
    <w:p w14:paraId="64894047" w14:textId="77777777" w:rsidR="004170A8" w:rsidRPr="004170A8" w:rsidRDefault="004170A8" w:rsidP="004170A8">
      <w:pPr>
        <w:widowControl w:val="0"/>
        <w:tabs>
          <w:tab w:val="left" w:pos="1995"/>
        </w:tabs>
        <w:spacing w:after="120"/>
        <w:jc w:val="both"/>
        <w:rPr>
          <w:rFonts w:ascii="Arial" w:hAnsi="Arial" w:cs="Arial"/>
          <w:bCs/>
          <w:snapToGrid w:val="0"/>
          <w:sz w:val="20"/>
        </w:rPr>
      </w:pPr>
      <w:r w:rsidRPr="004170A8">
        <w:rPr>
          <w:rFonts w:ascii="Arial" w:hAnsi="Arial" w:cs="Arial"/>
          <w:bCs/>
          <w:snapToGrid w:val="0"/>
          <w:sz w:val="20"/>
        </w:rPr>
        <w:t>Le rimanenze di magazzino sono state valutate secondo il criterio del Lifo a scatti; il valore lordo delle rimanenze di magazzino degli articoli complessivi al 31/12/2019 è pari a 6.650 €/000 e tale importo deriva da:</w:t>
      </w:r>
    </w:p>
    <w:p w14:paraId="0073CD39" w14:textId="77777777" w:rsidR="004170A8" w:rsidRDefault="004170A8" w:rsidP="004170A8">
      <w:pPr>
        <w:widowControl w:val="0"/>
        <w:numPr>
          <w:ilvl w:val="0"/>
          <w:numId w:val="10"/>
        </w:numPr>
        <w:tabs>
          <w:tab w:val="left" w:pos="1995"/>
        </w:tabs>
        <w:spacing w:after="120"/>
        <w:jc w:val="both"/>
        <w:rPr>
          <w:rFonts w:ascii="Arial" w:hAnsi="Arial" w:cs="Arial"/>
          <w:bCs/>
          <w:snapToGrid w:val="0"/>
          <w:sz w:val="20"/>
        </w:rPr>
      </w:pPr>
      <w:r w:rsidRPr="004170A8">
        <w:rPr>
          <w:rFonts w:ascii="Arial" w:hAnsi="Arial" w:cs="Arial"/>
          <w:bCs/>
          <w:snapToGrid w:val="0"/>
          <w:sz w:val="20"/>
        </w:rPr>
        <w:t>Variazione negativa rimanenze di magazzino derivanti dalla acquisita gestione ramo sosta per 56 €/000;</w:t>
      </w:r>
    </w:p>
    <w:p w14:paraId="7594A69F" w14:textId="77777777" w:rsidR="004170A8" w:rsidRDefault="004170A8" w:rsidP="004170A8">
      <w:pPr>
        <w:widowControl w:val="0"/>
        <w:numPr>
          <w:ilvl w:val="0"/>
          <w:numId w:val="10"/>
        </w:numPr>
        <w:tabs>
          <w:tab w:val="left" w:pos="1995"/>
        </w:tabs>
        <w:spacing w:after="120"/>
        <w:jc w:val="both"/>
        <w:rPr>
          <w:rFonts w:ascii="Arial" w:hAnsi="Arial" w:cs="Arial"/>
          <w:bCs/>
          <w:snapToGrid w:val="0"/>
          <w:sz w:val="20"/>
        </w:rPr>
      </w:pPr>
      <w:r w:rsidRPr="004170A8">
        <w:rPr>
          <w:rFonts w:ascii="Arial" w:hAnsi="Arial" w:cs="Arial"/>
          <w:bCs/>
          <w:snapToGrid w:val="0"/>
          <w:sz w:val="20"/>
        </w:rPr>
        <w:t>variazione positiva dei beni a normale movimentazione, ramo gomma, registrata nel 2019 rispetto al precedente esercizio per 127 €/000;</w:t>
      </w:r>
    </w:p>
    <w:p w14:paraId="62C91454" w14:textId="77777777" w:rsidR="004170A8" w:rsidRPr="004170A8" w:rsidRDefault="004170A8" w:rsidP="004170A8">
      <w:pPr>
        <w:widowControl w:val="0"/>
        <w:numPr>
          <w:ilvl w:val="0"/>
          <w:numId w:val="10"/>
        </w:numPr>
        <w:tabs>
          <w:tab w:val="left" w:pos="1995"/>
        </w:tabs>
        <w:spacing w:after="120"/>
        <w:jc w:val="both"/>
        <w:rPr>
          <w:rFonts w:ascii="Arial" w:hAnsi="Arial" w:cs="Arial"/>
          <w:bCs/>
          <w:snapToGrid w:val="0"/>
          <w:sz w:val="20"/>
        </w:rPr>
      </w:pPr>
      <w:r w:rsidRPr="004170A8">
        <w:rPr>
          <w:rFonts w:ascii="Arial" w:hAnsi="Arial" w:cs="Arial"/>
          <w:bCs/>
          <w:snapToGrid w:val="0"/>
          <w:sz w:val="20"/>
        </w:rPr>
        <w:t>variazione positiva dei beni a normale movimentazione, ramo ferro, registrata nel 2019 rispetto al precedente esercizio per 291 €/000;</w:t>
      </w:r>
    </w:p>
    <w:p w14:paraId="571DB58D" w14:textId="77777777" w:rsidR="004170A8" w:rsidRDefault="004170A8" w:rsidP="004170A8">
      <w:pPr>
        <w:widowControl w:val="0"/>
        <w:tabs>
          <w:tab w:val="left" w:pos="1995"/>
        </w:tabs>
        <w:spacing w:after="120"/>
        <w:jc w:val="both"/>
        <w:rPr>
          <w:rFonts w:ascii="Arial" w:hAnsi="Arial" w:cs="Arial"/>
          <w:bCs/>
          <w:snapToGrid w:val="0"/>
          <w:sz w:val="20"/>
        </w:rPr>
      </w:pPr>
      <w:r w:rsidRPr="004170A8">
        <w:rPr>
          <w:rFonts w:ascii="Arial" w:hAnsi="Arial" w:cs="Arial"/>
          <w:bCs/>
          <w:snapToGrid w:val="0"/>
          <w:sz w:val="20"/>
        </w:rPr>
        <w:t>Nel corso dell’esercizio si è, altresì, dato luogo ad una disamina delle rimanenze nei vari magazzini aziendali, che ha consentito di individuare diverse tipologie di articoli in disuso e da destinarsi ad eliminazione, e ad una analisi del relativo fondo svalutazione che è stato computato in 974 €/000 e quindi senza variazioni rispetto al precedente esercizio.</w:t>
      </w:r>
    </w:p>
    <w:p w14:paraId="29CAD6AA" w14:textId="77777777" w:rsidR="00240C32" w:rsidRPr="004170A8" w:rsidRDefault="00240C32" w:rsidP="004170A8">
      <w:pPr>
        <w:widowControl w:val="0"/>
        <w:tabs>
          <w:tab w:val="left" w:pos="1995"/>
        </w:tabs>
        <w:spacing w:after="120"/>
        <w:jc w:val="both"/>
        <w:rPr>
          <w:rFonts w:ascii="Arial" w:hAnsi="Arial" w:cs="Arial"/>
          <w:bCs/>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240"/>
      </w:tblGrid>
      <w:tr w:rsidR="00240C32" w:rsidRPr="0049512E" w14:paraId="5E129FE5" w14:textId="77777777" w:rsidTr="0049512E">
        <w:trPr>
          <w:trHeight w:val="285"/>
        </w:trPr>
        <w:tc>
          <w:tcPr>
            <w:tcW w:w="4160" w:type="dxa"/>
            <w:shd w:val="clear" w:color="auto" w:fill="auto"/>
            <w:hideMark/>
          </w:tcPr>
          <w:p w14:paraId="6599F592" w14:textId="77777777" w:rsidR="00240C32" w:rsidRPr="0049512E" w:rsidRDefault="00240C32" w:rsidP="0049512E">
            <w:pPr>
              <w:widowControl w:val="0"/>
              <w:tabs>
                <w:tab w:val="left" w:pos="1995"/>
              </w:tabs>
              <w:spacing w:after="120"/>
              <w:jc w:val="both"/>
              <w:rPr>
                <w:rFonts w:ascii="Arial" w:hAnsi="Arial" w:cs="Arial"/>
                <w:b/>
                <w:bCs/>
                <w:snapToGrid w:val="0"/>
                <w:sz w:val="20"/>
              </w:rPr>
            </w:pPr>
            <w:r w:rsidRPr="0049512E">
              <w:rPr>
                <w:rFonts w:ascii="Arial" w:hAnsi="Arial" w:cs="Arial"/>
                <w:b/>
                <w:bCs/>
                <w:snapToGrid w:val="0"/>
                <w:sz w:val="20"/>
              </w:rPr>
              <w:t>Variazione delle rimanenze al 31/12/2019</w:t>
            </w:r>
          </w:p>
        </w:tc>
        <w:tc>
          <w:tcPr>
            <w:tcW w:w="4240" w:type="dxa"/>
            <w:shd w:val="clear" w:color="auto" w:fill="auto"/>
            <w:hideMark/>
          </w:tcPr>
          <w:p w14:paraId="5E6EDC9F" w14:textId="0FF47AE9" w:rsidR="00240C32" w:rsidRPr="0049512E" w:rsidRDefault="00240C32" w:rsidP="0049512E">
            <w:pPr>
              <w:widowControl w:val="0"/>
              <w:tabs>
                <w:tab w:val="left" w:pos="1995"/>
              </w:tabs>
              <w:spacing w:after="120"/>
              <w:jc w:val="center"/>
              <w:rPr>
                <w:rFonts w:ascii="Arial" w:hAnsi="Arial" w:cs="Arial"/>
                <w:i/>
                <w:iCs/>
                <w:snapToGrid w:val="0"/>
                <w:sz w:val="20"/>
              </w:rPr>
            </w:pPr>
            <w:r w:rsidRPr="0049512E">
              <w:rPr>
                <w:rFonts w:ascii="Arial" w:hAnsi="Arial" w:cs="Arial"/>
                <w:i/>
                <w:iCs/>
                <w:snapToGrid w:val="0"/>
                <w:sz w:val="20"/>
              </w:rPr>
              <w:t>Euro/migliaia</w:t>
            </w:r>
          </w:p>
        </w:tc>
      </w:tr>
      <w:tr w:rsidR="00240C32" w:rsidRPr="0049512E" w14:paraId="1B82DCA5" w14:textId="77777777" w:rsidTr="0049512E">
        <w:trPr>
          <w:trHeight w:val="300"/>
        </w:trPr>
        <w:tc>
          <w:tcPr>
            <w:tcW w:w="4160" w:type="dxa"/>
            <w:shd w:val="clear" w:color="auto" w:fill="auto"/>
            <w:hideMark/>
          </w:tcPr>
          <w:p w14:paraId="0B8CEFC2" w14:textId="77777777" w:rsidR="00240C32" w:rsidRPr="0049512E" w:rsidRDefault="00240C32" w:rsidP="0049512E">
            <w:pPr>
              <w:widowControl w:val="0"/>
              <w:tabs>
                <w:tab w:val="left" w:pos="1995"/>
              </w:tabs>
              <w:spacing w:after="120"/>
              <w:jc w:val="both"/>
              <w:rPr>
                <w:rFonts w:ascii="Arial" w:hAnsi="Arial" w:cs="Arial"/>
                <w:snapToGrid w:val="0"/>
                <w:sz w:val="20"/>
              </w:rPr>
            </w:pPr>
            <w:r w:rsidRPr="0049512E">
              <w:rPr>
                <w:rFonts w:ascii="Arial" w:hAnsi="Arial" w:cs="Arial"/>
                <w:snapToGrid w:val="0"/>
                <w:sz w:val="20"/>
              </w:rPr>
              <w:t>Valore delle rimanenze al 31/12/2018</w:t>
            </w:r>
          </w:p>
        </w:tc>
        <w:tc>
          <w:tcPr>
            <w:tcW w:w="4240" w:type="dxa"/>
            <w:shd w:val="clear" w:color="auto" w:fill="auto"/>
            <w:hideMark/>
          </w:tcPr>
          <w:p w14:paraId="38D6979B" w14:textId="77777777" w:rsidR="00240C32" w:rsidRPr="0049512E" w:rsidRDefault="00240C32" w:rsidP="0049512E">
            <w:pPr>
              <w:widowControl w:val="0"/>
              <w:tabs>
                <w:tab w:val="left" w:pos="1995"/>
              </w:tabs>
              <w:spacing w:after="120"/>
              <w:jc w:val="center"/>
              <w:rPr>
                <w:rFonts w:ascii="Arial" w:hAnsi="Arial" w:cs="Arial"/>
                <w:b/>
                <w:bCs/>
                <w:snapToGrid w:val="0"/>
                <w:sz w:val="20"/>
              </w:rPr>
            </w:pPr>
            <w:r w:rsidRPr="0049512E">
              <w:rPr>
                <w:rFonts w:ascii="Arial" w:hAnsi="Arial" w:cs="Arial"/>
                <w:b/>
                <w:bCs/>
                <w:snapToGrid w:val="0"/>
                <w:sz w:val="20"/>
              </w:rPr>
              <w:t>6.288</w:t>
            </w:r>
          </w:p>
        </w:tc>
      </w:tr>
      <w:tr w:rsidR="00240C32" w:rsidRPr="0049512E" w14:paraId="60423542" w14:textId="77777777" w:rsidTr="0049512E">
        <w:trPr>
          <w:trHeight w:val="300"/>
        </w:trPr>
        <w:tc>
          <w:tcPr>
            <w:tcW w:w="4160" w:type="dxa"/>
            <w:shd w:val="clear" w:color="auto" w:fill="auto"/>
            <w:hideMark/>
          </w:tcPr>
          <w:p w14:paraId="0657566D" w14:textId="77777777" w:rsidR="00240C32" w:rsidRPr="0049512E" w:rsidRDefault="00240C32" w:rsidP="0049512E">
            <w:pPr>
              <w:widowControl w:val="0"/>
              <w:tabs>
                <w:tab w:val="left" w:pos="1995"/>
              </w:tabs>
              <w:spacing w:after="120"/>
              <w:jc w:val="both"/>
              <w:rPr>
                <w:rFonts w:ascii="Arial" w:hAnsi="Arial" w:cs="Arial"/>
                <w:snapToGrid w:val="0"/>
                <w:sz w:val="20"/>
              </w:rPr>
            </w:pPr>
            <w:r w:rsidRPr="0049512E">
              <w:rPr>
                <w:rFonts w:ascii="Arial" w:hAnsi="Arial" w:cs="Arial"/>
                <w:snapToGrid w:val="0"/>
                <w:sz w:val="20"/>
              </w:rPr>
              <w:t>Variazione negativa rimanenze ramo sosta</w:t>
            </w:r>
          </w:p>
        </w:tc>
        <w:tc>
          <w:tcPr>
            <w:tcW w:w="4240" w:type="dxa"/>
            <w:shd w:val="clear" w:color="auto" w:fill="auto"/>
            <w:hideMark/>
          </w:tcPr>
          <w:p w14:paraId="5F9B34B7" w14:textId="77777777" w:rsidR="00240C32" w:rsidRPr="0049512E" w:rsidRDefault="00240C32" w:rsidP="0049512E">
            <w:pPr>
              <w:widowControl w:val="0"/>
              <w:tabs>
                <w:tab w:val="left" w:pos="1995"/>
              </w:tabs>
              <w:spacing w:after="120"/>
              <w:jc w:val="center"/>
              <w:rPr>
                <w:rFonts w:ascii="Arial" w:hAnsi="Arial" w:cs="Arial"/>
                <w:snapToGrid w:val="0"/>
                <w:sz w:val="20"/>
              </w:rPr>
            </w:pPr>
            <w:r w:rsidRPr="0049512E">
              <w:rPr>
                <w:rFonts w:ascii="Arial" w:hAnsi="Arial" w:cs="Arial"/>
                <w:snapToGrid w:val="0"/>
                <w:sz w:val="20"/>
              </w:rPr>
              <w:t>-56</w:t>
            </w:r>
          </w:p>
        </w:tc>
      </w:tr>
      <w:tr w:rsidR="00240C32" w:rsidRPr="0049512E" w14:paraId="03A3DCCF" w14:textId="77777777" w:rsidTr="0049512E">
        <w:trPr>
          <w:trHeight w:val="300"/>
        </w:trPr>
        <w:tc>
          <w:tcPr>
            <w:tcW w:w="4160" w:type="dxa"/>
            <w:shd w:val="clear" w:color="auto" w:fill="auto"/>
            <w:hideMark/>
          </w:tcPr>
          <w:p w14:paraId="67020A94" w14:textId="77777777" w:rsidR="00240C32" w:rsidRPr="0049512E" w:rsidRDefault="00240C32" w:rsidP="0049512E">
            <w:pPr>
              <w:widowControl w:val="0"/>
              <w:tabs>
                <w:tab w:val="left" w:pos="1995"/>
              </w:tabs>
              <w:spacing w:after="120"/>
              <w:jc w:val="both"/>
              <w:rPr>
                <w:rFonts w:ascii="Arial" w:hAnsi="Arial" w:cs="Arial"/>
                <w:snapToGrid w:val="0"/>
                <w:sz w:val="20"/>
              </w:rPr>
            </w:pPr>
            <w:r w:rsidRPr="0049512E">
              <w:rPr>
                <w:rFonts w:ascii="Arial" w:hAnsi="Arial" w:cs="Arial"/>
                <w:snapToGrid w:val="0"/>
                <w:sz w:val="20"/>
              </w:rPr>
              <w:t xml:space="preserve">Variazione positiva rimanenze ramo gomma </w:t>
            </w:r>
          </w:p>
        </w:tc>
        <w:tc>
          <w:tcPr>
            <w:tcW w:w="4240" w:type="dxa"/>
            <w:shd w:val="clear" w:color="auto" w:fill="auto"/>
            <w:hideMark/>
          </w:tcPr>
          <w:p w14:paraId="545CB54B" w14:textId="77777777" w:rsidR="00240C32" w:rsidRPr="0049512E" w:rsidRDefault="00240C32" w:rsidP="0049512E">
            <w:pPr>
              <w:widowControl w:val="0"/>
              <w:tabs>
                <w:tab w:val="left" w:pos="1995"/>
              </w:tabs>
              <w:spacing w:after="120"/>
              <w:jc w:val="center"/>
              <w:rPr>
                <w:rFonts w:ascii="Arial" w:hAnsi="Arial" w:cs="Arial"/>
                <w:snapToGrid w:val="0"/>
                <w:sz w:val="20"/>
              </w:rPr>
            </w:pPr>
            <w:r w:rsidRPr="0049512E">
              <w:rPr>
                <w:rFonts w:ascii="Arial" w:hAnsi="Arial" w:cs="Arial"/>
                <w:snapToGrid w:val="0"/>
                <w:sz w:val="20"/>
              </w:rPr>
              <w:t>127</w:t>
            </w:r>
          </w:p>
        </w:tc>
      </w:tr>
      <w:tr w:rsidR="00240C32" w:rsidRPr="0049512E" w14:paraId="5B1B60CE" w14:textId="77777777" w:rsidTr="0049512E">
        <w:trPr>
          <w:trHeight w:val="300"/>
        </w:trPr>
        <w:tc>
          <w:tcPr>
            <w:tcW w:w="4160" w:type="dxa"/>
            <w:shd w:val="clear" w:color="auto" w:fill="auto"/>
            <w:hideMark/>
          </w:tcPr>
          <w:p w14:paraId="405AAD84" w14:textId="77777777" w:rsidR="00240C32" w:rsidRPr="0049512E" w:rsidRDefault="00240C32" w:rsidP="0049512E">
            <w:pPr>
              <w:widowControl w:val="0"/>
              <w:tabs>
                <w:tab w:val="left" w:pos="1995"/>
              </w:tabs>
              <w:spacing w:after="120"/>
              <w:jc w:val="both"/>
              <w:rPr>
                <w:rFonts w:ascii="Arial" w:hAnsi="Arial" w:cs="Arial"/>
                <w:snapToGrid w:val="0"/>
                <w:sz w:val="20"/>
              </w:rPr>
            </w:pPr>
            <w:r w:rsidRPr="0049512E">
              <w:rPr>
                <w:rFonts w:ascii="Arial" w:hAnsi="Arial" w:cs="Arial"/>
                <w:snapToGrid w:val="0"/>
                <w:sz w:val="20"/>
              </w:rPr>
              <w:t>Variazione positiva rimanenze ramo ferro</w:t>
            </w:r>
          </w:p>
        </w:tc>
        <w:tc>
          <w:tcPr>
            <w:tcW w:w="4240" w:type="dxa"/>
            <w:shd w:val="clear" w:color="auto" w:fill="auto"/>
            <w:hideMark/>
          </w:tcPr>
          <w:p w14:paraId="71BF8342" w14:textId="77777777" w:rsidR="00240C32" w:rsidRPr="0049512E" w:rsidRDefault="00240C32" w:rsidP="0049512E">
            <w:pPr>
              <w:widowControl w:val="0"/>
              <w:tabs>
                <w:tab w:val="left" w:pos="1995"/>
              </w:tabs>
              <w:spacing w:after="120"/>
              <w:jc w:val="center"/>
              <w:rPr>
                <w:rFonts w:ascii="Arial" w:hAnsi="Arial" w:cs="Arial"/>
                <w:snapToGrid w:val="0"/>
                <w:sz w:val="20"/>
              </w:rPr>
            </w:pPr>
            <w:r w:rsidRPr="0049512E">
              <w:rPr>
                <w:rFonts w:ascii="Arial" w:hAnsi="Arial" w:cs="Arial"/>
                <w:snapToGrid w:val="0"/>
                <w:sz w:val="20"/>
              </w:rPr>
              <w:t>291</w:t>
            </w:r>
          </w:p>
        </w:tc>
      </w:tr>
      <w:tr w:rsidR="00240C32" w:rsidRPr="0049512E" w14:paraId="2A34B604" w14:textId="77777777" w:rsidTr="0049512E">
        <w:trPr>
          <w:trHeight w:val="285"/>
        </w:trPr>
        <w:tc>
          <w:tcPr>
            <w:tcW w:w="4160" w:type="dxa"/>
            <w:shd w:val="clear" w:color="auto" w:fill="auto"/>
            <w:hideMark/>
          </w:tcPr>
          <w:p w14:paraId="445D92FB" w14:textId="77777777" w:rsidR="00240C32" w:rsidRPr="0049512E" w:rsidRDefault="00240C32" w:rsidP="0049512E">
            <w:pPr>
              <w:widowControl w:val="0"/>
              <w:tabs>
                <w:tab w:val="left" w:pos="1995"/>
              </w:tabs>
              <w:spacing w:after="120"/>
              <w:jc w:val="both"/>
              <w:rPr>
                <w:rFonts w:ascii="Arial" w:hAnsi="Arial" w:cs="Arial"/>
                <w:b/>
                <w:bCs/>
                <w:snapToGrid w:val="0"/>
                <w:sz w:val="20"/>
              </w:rPr>
            </w:pPr>
            <w:r w:rsidRPr="0049512E">
              <w:rPr>
                <w:rFonts w:ascii="Arial" w:hAnsi="Arial" w:cs="Arial"/>
                <w:b/>
                <w:bCs/>
                <w:snapToGrid w:val="0"/>
                <w:sz w:val="20"/>
              </w:rPr>
              <w:t>Valore rimanenze al 31/12/2019</w:t>
            </w:r>
          </w:p>
        </w:tc>
        <w:tc>
          <w:tcPr>
            <w:tcW w:w="4240" w:type="dxa"/>
            <w:shd w:val="clear" w:color="auto" w:fill="auto"/>
            <w:hideMark/>
          </w:tcPr>
          <w:p w14:paraId="54DC8059" w14:textId="77777777" w:rsidR="00240C32" w:rsidRPr="0049512E" w:rsidRDefault="00240C32" w:rsidP="0049512E">
            <w:pPr>
              <w:widowControl w:val="0"/>
              <w:tabs>
                <w:tab w:val="left" w:pos="1995"/>
              </w:tabs>
              <w:spacing w:after="120"/>
              <w:jc w:val="center"/>
              <w:rPr>
                <w:rFonts w:ascii="Arial" w:hAnsi="Arial" w:cs="Arial"/>
                <w:b/>
                <w:bCs/>
                <w:snapToGrid w:val="0"/>
                <w:sz w:val="20"/>
              </w:rPr>
            </w:pPr>
            <w:r w:rsidRPr="0049512E">
              <w:rPr>
                <w:rFonts w:ascii="Arial" w:hAnsi="Arial" w:cs="Arial"/>
                <w:b/>
                <w:bCs/>
                <w:snapToGrid w:val="0"/>
                <w:sz w:val="20"/>
              </w:rPr>
              <w:t>6.650</w:t>
            </w:r>
          </w:p>
        </w:tc>
      </w:tr>
    </w:tbl>
    <w:p w14:paraId="43378F92" w14:textId="77777777" w:rsidR="00FA68F4" w:rsidRDefault="00FA68F4" w:rsidP="00240C32">
      <w:pPr>
        <w:widowControl w:val="0"/>
        <w:tabs>
          <w:tab w:val="left" w:pos="1995"/>
        </w:tabs>
        <w:spacing w:after="120"/>
        <w:jc w:val="both"/>
        <w:rPr>
          <w:rFonts w:ascii="Arial" w:hAnsi="Arial" w:cs="Arial"/>
          <w:snapToGrid w:val="0"/>
          <w:sz w:val="20"/>
        </w:rPr>
      </w:pPr>
    </w:p>
    <w:p w14:paraId="458B9EE4" w14:textId="77777777" w:rsidR="00240C32" w:rsidRPr="00240C32" w:rsidRDefault="00240C32" w:rsidP="00240C32">
      <w:pPr>
        <w:widowControl w:val="0"/>
        <w:tabs>
          <w:tab w:val="left" w:pos="1995"/>
        </w:tabs>
        <w:spacing w:after="120"/>
        <w:jc w:val="both"/>
        <w:rPr>
          <w:rFonts w:ascii="Arial" w:hAnsi="Arial" w:cs="Arial"/>
          <w:snapToGrid w:val="0"/>
          <w:sz w:val="20"/>
        </w:rPr>
      </w:pPr>
      <w:r w:rsidRPr="00240C32">
        <w:rPr>
          <w:rFonts w:ascii="Arial" w:hAnsi="Arial" w:cs="Arial"/>
          <w:snapToGrid w:val="0"/>
          <w:sz w:val="20"/>
        </w:rPr>
        <w:t>Il computo della svalutazione è effettuato considerando giacenze di materie prime non più utilizzabili per la produzione corrente e materie sussidiarie obsolete o a lenta rotazione.</w:t>
      </w:r>
    </w:p>
    <w:p w14:paraId="185B7C47" w14:textId="77777777" w:rsidR="00FB5FF7" w:rsidRDefault="00240C32" w:rsidP="00240C32">
      <w:pPr>
        <w:widowControl w:val="0"/>
        <w:tabs>
          <w:tab w:val="left" w:pos="1995"/>
        </w:tabs>
        <w:spacing w:after="120"/>
        <w:jc w:val="both"/>
        <w:rPr>
          <w:rFonts w:ascii="Arial" w:hAnsi="Arial" w:cs="Arial"/>
          <w:snapToGrid w:val="0"/>
          <w:sz w:val="20"/>
        </w:rPr>
      </w:pPr>
      <w:r w:rsidRPr="00240C32">
        <w:rPr>
          <w:rFonts w:ascii="Arial" w:hAnsi="Arial" w:cs="Arial"/>
          <w:snapToGrid w:val="0"/>
          <w:sz w:val="20"/>
        </w:rPr>
        <w:t>Tale svalutazione è attribuibile esclusivamente al magazzino gomma, adottando il criterio della movimentazione a magazzino</w:t>
      </w:r>
      <w:r w:rsidR="00FB5FF7" w:rsidRPr="00FB5FF7">
        <w:rPr>
          <w:rFonts w:ascii="Arial" w:hAnsi="Arial" w:cs="Arial"/>
          <w:snapToGrid w:val="0"/>
          <w:sz w:val="20"/>
        </w:rPr>
        <w:t>.</w:t>
      </w:r>
    </w:p>
    <w:p w14:paraId="08BB7568" w14:textId="77777777" w:rsidR="00FA68F4" w:rsidRPr="00FB5FF7" w:rsidRDefault="00FA68F4" w:rsidP="00240C32">
      <w:pPr>
        <w:widowControl w:val="0"/>
        <w:tabs>
          <w:tab w:val="left" w:pos="1995"/>
        </w:tabs>
        <w:spacing w:after="120"/>
        <w:jc w:val="both"/>
        <w:rPr>
          <w:rFonts w:ascii="Arial" w:hAnsi="Arial" w:cs="Arial"/>
          <w:snapToGrid w:val="0"/>
          <w:sz w:val="20"/>
        </w:rPr>
      </w:pPr>
    </w:p>
    <w:p w14:paraId="1A93C072" w14:textId="77777777" w:rsidR="00490ADA" w:rsidRPr="00B1657E" w:rsidRDefault="00EE4AF0" w:rsidP="00526C0B">
      <w:pPr>
        <w:widowControl w:val="0"/>
        <w:spacing w:before="120" w:after="120"/>
        <w:jc w:val="both"/>
        <w:rPr>
          <w:rFonts w:ascii="Arial" w:hAnsi="Arial" w:cs="Arial"/>
          <w:b/>
          <w:snapToGrid w:val="0"/>
          <w:sz w:val="22"/>
          <w:szCs w:val="22"/>
        </w:rPr>
      </w:pPr>
      <w:r w:rsidRPr="00B1657E">
        <w:rPr>
          <w:rFonts w:ascii="Arial" w:hAnsi="Arial" w:cs="Arial"/>
          <w:b/>
          <w:snapToGrid w:val="0"/>
          <w:sz w:val="22"/>
          <w:szCs w:val="22"/>
        </w:rPr>
        <w:t>Crediti</w:t>
      </w:r>
    </w:p>
    <w:p w14:paraId="6A0B0345" w14:textId="48C88975" w:rsidR="00D65236" w:rsidRDefault="00A22B5D" w:rsidP="00526C0B">
      <w:pPr>
        <w:widowControl w:val="0"/>
        <w:spacing w:before="120" w:after="120"/>
        <w:jc w:val="both"/>
        <w:rPr>
          <w:rFonts w:ascii="Arial" w:hAnsi="Arial" w:cs="Arial"/>
          <w:snapToGrid w:val="0"/>
          <w:sz w:val="20"/>
        </w:rPr>
      </w:pPr>
      <w:r w:rsidRPr="00B1657E">
        <w:rPr>
          <w:rFonts w:ascii="Arial" w:hAnsi="Arial" w:cs="Arial"/>
          <w:snapToGrid w:val="0"/>
          <w:sz w:val="20"/>
        </w:rPr>
        <w:t>La composizione dei crediti iscritti nel bilancio è evidenziata nella seguente tabella</w:t>
      </w:r>
      <w:r w:rsidR="00D65236">
        <w:rPr>
          <w:rFonts w:ascii="Arial" w:hAnsi="Arial" w:cs="Arial"/>
          <w:snapToGrid w:val="0"/>
          <w:sz w:val="20"/>
        </w:rPr>
        <w:t>:</w:t>
      </w:r>
    </w:p>
    <w:p w14:paraId="5EB1DCDB" w14:textId="77777777" w:rsidR="00D65236" w:rsidRPr="00D65236" w:rsidRDefault="00D65236" w:rsidP="00D65236">
      <w:pPr>
        <w:widowControl w:val="0"/>
        <w:spacing w:before="120" w:after="120"/>
        <w:jc w:val="both"/>
        <w:rPr>
          <w:rFonts w:ascii="Arial" w:hAnsi="Arial" w:cs="Arial"/>
          <w:b/>
          <w:bCs/>
          <w:snapToGrid w:val="0"/>
          <w:sz w:val="20"/>
        </w:rPr>
      </w:pPr>
      <w:r w:rsidRPr="00D65236">
        <w:rPr>
          <w:rFonts w:ascii="Arial" w:hAnsi="Arial" w:cs="Arial"/>
          <w:b/>
          <w:bCs/>
          <w:i/>
          <w:iCs/>
          <w:snapToGrid w:val="0"/>
          <w:sz w:val="20"/>
        </w:rPr>
        <w:t>Euro migliaia</w:t>
      </w:r>
    </w:p>
    <w:p w14:paraId="6D6CB453" w14:textId="432D457C" w:rsidR="00240C32" w:rsidRDefault="00CE6109" w:rsidP="00526C0B">
      <w:pPr>
        <w:widowControl w:val="0"/>
        <w:spacing w:before="120" w:after="120"/>
        <w:jc w:val="both"/>
        <w:rPr>
          <w:rFonts w:ascii="Arial" w:hAnsi="Arial" w:cs="Arial"/>
          <w:snapToGrid w:val="0"/>
          <w:sz w:val="20"/>
        </w:rPr>
      </w:pPr>
      <w:r>
        <w:rPr>
          <w:noProof/>
        </w:rPr>
        <w:lastRenderedPageBreak/>
        <w:drawing>
          <wp:inline distT="0" distB="0" distL="0" distR="0" wp14:anchorId="2E993144" wp14:editId="3E11927B">
            <wp:extent cx="5391150" cy="1333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333500"/>
                    </a:xfrm>
                    <a:prstGeom prst="rect">
                      <a:avLst/>
                    </a:prstGeom>
                    <a:noFill/>
                    <a:ln>
                      <a:noFill/>
                    </a:ln>
                  </pic:spPr>
                </pic:pic>
              </a:graphicData>
            </a:graphic>
          </wp:inline>
        </w:drawing>
      </w:r>
    </w:p>
    <w:p w14:paraId="7E4EC73D" w14:textId="77777777" w:rsidR="007A123E" w:rsidRDefault="007A123E" w:rsidP="00526C0B">
      <w:pPr>
        <w:widowControl w:val="0"/>
        <w:spacing w:before="120" w:after="120"/>
        <w:jc w:val="both"/>
        <w:rPr>
          <w:rFonts w:ascii="Arial" w:hAnsi="Arial" w:cs="Arial"/>
          <w:snapToGrid w:val="0"/>
          <w:sz w:val="20"/>
        </w:rPr>
      </w:pPr>
    </w:p>
    <w:p w14:paraId="2F3E6F5D" w14:textId="640951DD" w:rsidR="00EF22A4" w:rsidRDefault="00CE6109" w:rsidP="00526C0B">
      <w:pPr>
        <w:widowControl w:val="0"/>
        <w:spacing w:before="120" w:after="120"/>
        <w:jc w:val="both"/>
        <w:rPr>
          <w:rFonts w:ascii="Arial" w:hAnsi="Arial" w:cs="Arial"/>
          <w:snapToGrid w:val="0"/>
          <w:sz w:val="20"/>
        </w:rPr>
      </w:pPr>
      <w:r>
        <w:rPr>
          <w:noProof/>
        </w:rPr>
        <w:drawing>
          <wp:inline distT="0" distB="0" distL="0" distR="0" wp14:anchorId="4603D19F" wp14:editId="0AC9352A">
            <wp:extent cx="5391150" cy="42957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4295775"/>
                    </a:xfrm>
                    <a:prstGeom prst="rect">
                      <a:avLst/>
                    </a:prstGeom>
                    <a:noFill/>
                    <a:ln>
                      <a:noFill/>
                    </a:ln>
                  </pic:spPr>
                </pic:pic>
              </a:graphicData>
            </a:graphic>
          </wp:inline>
        </w:drawing>
      </w:r>
    </w:p>
    <w:p w14:paraId="09431489" w14:textId="77777777" w:rsidR="00C05ADF" w:rsidRDefault="00C05ADF" w:rsidP="00526C0B">
      <w:pPr>
        <w:widowControl w:val="0"/>
        <w:tabs>
          <w:tab w:val="left" w:pos="1620"/>
          <w:tab w:val="num" w:pos="1980"/>
        </w:tabs>
        <w:spacing w:before="120" w:after="120"/>
        <w:jc w:val="both"/>
        <w:rPr>
          <w:rFonts w:ascii="Arial" w:hAnsi="Arial" w:cs="Arial"/>
          <w:snapToGrid w:val="0"/>
          <w:sz w:val="20"/>
        </w:rPr>
      </w:pPr>
      <w:r>
        <w:rPr>
          <w:rFonts w:ascii="Arial" w:hAnsi="Arial" w:cs="Arial"/>
          <w:snapToGrid w:val="0"/>
          <w:sz w:val="20"/>
        </w:rPr>
        <w:t xml:space="preserve">I crediti sono esposti al valore nominale, rettificato dal fondo svalutazione crediti per tener conto dei rischi connessi all’incasso degli stessi. </w:t>
      </w:r>
    </w:p>
    <w:p w14:paraId="6D7785C3" w14:textId="77777777" w:rsidR="00FA68F4" w:rsidRDefault="00FA68F4" w:rsidP="00526C0B">
      <w:pPr>
        <w:widowControl w:val="0"/>
        <w:tabs>
          <w:tab w:val="left" w:pos="1620"/>
          <w:tab w:val="num" w:pos="1980"/>
        </w:tabs>
        <w:spacing w:before="120" w:after="120"/>
        <w:jc w:val="both"/>
        <w:rPr>
          <w:rFonts w:ascii="Arial" w:hAnsi="Arial" w:cs="Arial"/>
          <w:snapToGrid w:val="0"/>
          <w:sz w:val="20"/>
        </w:rPr>
      </w:pPr>
    </w:p>
    <w:p w14:paraId="1D537A4F" w14:textId="77777777" w:rsidR="00A22B5D" w:rsidRPr="003D06CB" w:rsidRDefault="00D72E34" w:rsidP="00526C0B">
      <w:pPr>
        <w:widowControl w:val="0"/>
        <w:spacing w:before="120" w:after="120"/>
        <w:jc w:val="both"/>
        <w:rPr>
          <w:rFonts w:ascii="Arial" w:hAnsi="Arial" w:cs="Arial"/>
          <w:b/>
          <w:snapToGrid w:val="0"/>
          <w:sz w:val="20"/>
          <w:u w:val="single"/>
        </w:rPr>
      </w:pPr>
      <w:r>
        <w:rPr>
          <w:rFonts w:ascii="Arial" w:hAnsi="Arial" w:cs="Arial"/>
          <w:b/>
          <w:snapToGrid w:val="0"/>
          <w:sz w:val="20"/>
          <w:u w:val="single"/>
        </w:rPr>
        <w:t>Credit</w:t>
      </w:r>
      <w:r w:rsidR="002B1AD0">
        <w:rPr>
          <w:rFonts w:ascii="Arial" w:hAnsi="Arial" w:cs="Arial"/>
          <w:b/>
          <w:snapToGrid w:val="0"/>
          <w:sz w:val="20"/>
          <w:u w:val="single"/>
        </w:rPr>
        <w:t xml:space="preserve">i verso </w:t>
      </w:r>
      <w:r>
        <w:rPr>
          <w:rFonts w:ascii="Arial" w:hAnsi="Arial" w:cs="Arial"/>
          <w:b/>
          <w:snapToGrid w:val="0"/>
          <w:sz w:val="20"/>
          <w:u w:val="single"/>
        </w:rPr>
        <w:t>clienti</w:t>
      </w:r>
    </w:p>
    <w:p w14:paraId="2687F4E7" w14:textId="77777777" w:rsidR="00567087" w:rsidRDefault="00C23BE0" w:rsidP="00526C0B">
      <w:pPr>
        <w:widowControl w:val="0"/>
        <w:tabs>
          <w:tab w:val="left" w:pos="1620"/>
          <w:tab w:val="num" w:pos="1980"/>
        </w:tabs>
        <w:spacing w:before="120" w:after="120"/>
        <w:jc w:val="both"/>
        <w:rPr>
          <w:rFonts w:ascii="Arial" w:hAnsi="Arial" w:cs="Arial"/>
          <w:snapToGrid w:val="0"/>
          <w:sz w:val="20"/>
        </w:rPr>
      </w:pPr>
      <w:r>
        <w:rPr>
          <w:rFonts w:ascii="Arial" w:hAnsi="Arial" w:cs="Arial"/>
          <w:snapToGrid w:val="0"/>
          <w:sz w:val="20"/>
        </w:rPr>
        <w:t>I</w:t>
      </w:r>
      <w:r w:rsidR="00C05ADF">
        <w:rPr>
          <w:rFonts w:ascii="Arial" w:hAnsi="Arial" w:cs="Arial"/>
          <w:snapToGrid w:val="0"/>
          <w:sz w:val="20"/>
        </w:rPr>
        <w:t xml:space="preserve"> crediti vs clienti sono isc</w:t>
      </w:r>
      <w:r w:rsidR="00A22B5D">
        <w:rPr>
          <w:rFonts w:ascii="Arial" w:hAnsi="Arial" w:cs="Arial"/>
          <w:snapToGrid w:val="0"/>
          <w:sz w:val="20"/>
        </w:rPr>
        <w:t>ritti</w:t>
      </w:r>
      <w:r w:rsidR="009126DC">
        <w:rPr>
          <w:rFonts w:ascii="Arial" w:hAnsi="Arial" w:cs="Arial"/>
          <w:snapToGrid w:val="0"/>
          <w:sz w:val="20"/>
        </w:rPr>
        <w:t>,</w:t>
      </w:r>
      <w:r w:rsidR="00A22B5D">
        <w:rPr>
          <w:rFonts w:ascii="Arial" w:hAnsi="Arial" w:cs="Arial"/>
          <w:snapToGrid w:val="0"/>
          <w:sz w:val="20"/>
        </w:rPr>
        <w:t xml:space="preserve"> al netto del fondo</w:t>
      </w:r>
      <w:r w:rsidR="00EF22A4">
        <w:rPr>
          <w:rFonts w:ascii="Arial" w:hAnsi="Arial" w:cs="Arial"/>
          <w:snapToGrid w:val="0"/>
          <w:sz w:val="20"/>
        </w:rPr>
        <w:t xml:space="preserve"> svalutazione</w:t>
      </w:r>
      <w:r w:rsidR="009126DC">
        <w:rPr>
          <w:rFonts w:ascii="Arial" w:hAnsi="Arial" w:cs="Arial"/>
          <w:snapToGrid w:val="0"/>
          <w:sz w:val="20"/>
        </w:rPr>
        <w:t>,</w:t>
      </w:r>
      <w:r w:rsidR="00A22B5D">
        <w:rPr>
          <w:rFonts w:ascii="Arial" w:hAnsi="Arial" w:cs="Arial"/>
          <w:snapToGrid w:val="0"/>
          <w:sz w:val="20"/>
        </w:rPr>
        <w:t xml:space="preserve"> </w:t>
      </w:r>
      <w:r w:rsidR="009126DC">
        <w:rPr>
          <w:rFonts w:ascii="Arial" w:hAnsi="Arial" w:cs="Arial"/>
          <w:snapToGrid w:val="0"/>
          <w:sz w:val="20"/>
        </w:rPr>
        <w:t xml:space="preserve">per l’importo di </w:t>
      </w:r>
      <w:r w:rsidR="00EF22A4">
        <w:rPr>
          <w:rFonts w:ascii="Arial" w:hAnsi="Arial" w:cs="Arial"/>
          <w:snapToGrid w:val="0"/>
          <w:sz w:val="20"/>
        </w:rPr>
        <w:t>euro</w:t>
      </w:r>
      <w:r w:rsidR="00AA3A29">
        <w:rPr>
          <w:rFonts w:ascii="Arial" w:hAnsi="Arial" w:cs="Arial"/>
          <w:snapToGrid w:val="0"/>
          <w:sz w:val="20"/>
        </w:rPr>
        <w:t xml:space="preserve"> </w:t>
      </w:r>
      <w:r w:rsidR="00EF22A4">
        <w:rPr>
          <w:rFonts w:ascii="Arial" w:hAnsi="Arial" w:cs="Arial"/>
          <w:snapToGrid w:val="0"/>
          <w:sz w:val="20"/>
        </w:rPr>
        <w:t>16.130</w:t>
      </w:r>
      <w:r w:rsidR="002D44F5">
        <w:rPr>
          <w:rFonts w:ascii="Arial" w:hAnsi="Arial" w:cs="Arial"/>
          <w:snapToGrid w:val="0"/>
          <w:sz w:val="20"/>
        </w:rPr>
        <w:t xml:space="preserve"> </w:t>
      </w:r>
      <w:r w:rsidR="00C05ADF">
        <w:rPr>
          <w:rFonts w:ascii="Arial" w:hAnsi="Arial" w:cs="Arial"/>
          <w:snapToGrid w:val="0"/>
          <w:sz w:val="20"/>
        </w:rPr>
        <w:t xml:space="preserve">mila. </w:t>
      </w:r>
    </w:p>
    <w:p w14:paraId="48CB1157" w14:textId="77777777" w:rsidR="00AA3A29" w:rsidRPr="00AA3A29" w:rsidRDefault="00AA3A29" w:rsidP="00526C0B">
      <w:pPr>
        <w:widowControl w:val="0"/>
        <w:tabs>
          <w:tab w:val="num" w:pos="454"/>
          <w:tab w:val="left" w:pos="1620"/>
          <w:tab w:val="num" w:pos="1980"/>
        </w:tabs>
        <w:spacing w:before="120" w:after="120"/>
        <w:jc w:val="both"/>
        <w:rPr>
          <w:rFonts w:ascii="Arial" w:hAnsi="Arial" w:cs="Arial"/>
          <w:snapToGrid w:val="0"/>
          <w:sz w:val="20"/>
        </w:rPr>
      </w:pPr>
      <w:r>
        <w:rPr>
          <w:rFonts w:ascii="Arial" w:hAnsi="Arial" w:cs="Arial"/>
          <w:snapToGrid w:val="0"/>
          <w:sz w:val="20"/>
        </w:rPr>
        <w:t>L’importo più significativo si riferisce al c</w:t>
      </w:r>
      <w:r w:rsidRPr="00AA3A29">
        <w:rPr>
          <w:rFonts w:ascii="Arial" w:hAnsi="Arial" w:cs="Arial"/>
          <w:snapToGrid w:val="0"/>
          <w:sz w:val="20"/>
        </w:rPr>
        <w:t>redito</w:t>
      </w:r>
      <w:r w:rsidR="006E049E">
        <w:rPr>
          <w:rFonts w:ascii="Arial" w:hAnsi="Arial" w:cs="Arial"/>
          <w:snapToGrid w:val="0"/>
          <w:sz w:val="20"/>
        </w:rPr>
        <w:t xml:space="preserve"> </w:t>
      </w:r>
      <w:r w:rsidR="00EF22A4">
        <w:rPr>
          <w:rFonts w:ascii="Arial" w:hAnsi="Arial" w:cs="Arial"/>
          <w:snapToGrid w:val="0"/>
          <w:sz w:val="20"/>
        </w:rPr>
        <w:t>vantato nei</w:t>
      </w:r>
      <w:r w:rsidR="006E049E">
        <w:rPr>
          <w:rFonts w:ascii="Arial" w:hAnsi="Arial" w:cs="Arial"/>
          <w:snapToGrid w:val="0"/>
          <w:sz w:val="20"/>
        </w:rPr>
        <w:t xml:space="preserve"> confronti del</w:t>
      </w:r>
      <w:r w:rsidRPr="00AA3A29">
        <w:rPr>
          <w:rFonts w:ascii="Arial" w:hAnsi="Arial" w:cs="Arial"/>
          <w:snapToGrid w:val="0"/>
          <w:sz w:val="20"/>
        </w:rPr>
        <w:t>la</w:t>
      </w:r>
      <w:r w:rsidR="00B70A25">
        <w:rPr>
          <w:rFonts w:ascii="Arial" w:hAnsi="Arial" w:cs="Arial"/>
          <w:snapToGrid w:val="0"/>
          <w:sz w:val="20"/>
        </w:rPr>
        <w:t xml:space="preserve"> Città Metropolitana ex </w:t>
      </w:r>
      <w:r w:rsidRPr="00AA3A29">
        <w:rPr>
          <w:rFonts w:ascii="Arial" w:hAnsi="Arial" w:cs="Arial"/>
          <w:snapToGrid w:val="0"/>
          <w:sz w:val="20"/>
        </w:rPr>
        <w:t xml:space="preserve">Provincia </w:t>
      </w:r>
      <w:r w:rsidR="006E049E">
        <w:rPr>
          <w:rFonts w:ascii="Arial" w:hAnsi="Arial" w:cs="Arial"/>
          <w:snapToGrid w:val="0"/>
          <w:sz w:val="20"/>
        </w:rPr>
        <w:t xml:space="preserve">e relativo al contratto di servizio ponte </w:t>
      </w:r>
      <w:r w:rsidR="00374D20">
        <w:rPr>
          <w:rFonts w:ascii="Arial" w:hAnsi="Arial" w:cs="Arial"/>
          <w:snapToGrid w:val="0"/>
          <w:sz w:val="20"/>
        </w:rPr>
        <w:t xml:space="preserve">che, </w:t>
      </w:r>
      <w:r w:rsidRPr="00AA3A29">
        <w:rPr>
          <w:rFonts w:ascii="Arial" w:hAnsi="Arial" w:cs="Arial"/>
          <w:snapToGrid w:val="0"/>
          <w:sz w:val="20"/>
        </w:rPr>
        <w:t>in data 30/12/2002</w:t>
      </w:r>
      <w:r w:rsidR="00374D20">
        <w:rPr>
          <w:rFonts w:ascii="Arial" w:hAnsi="Arial" w:cs="Arial"/>
          <w:snapToGrid w:val="0"/>
          <w:sz w:val="20"/>
        </w:rPr>
        <w:t xml:space="preserve">, </w:t>
      </w:r>
      <w:r w:rsidR="006E049E">
        <w:rPr>
          <w:rFonts w:ascii="Arial" w:hAnsi="Arial" w:cs="Arial"/>
          <w:snapToGrid w:val="0"/>
          <w:sz w:val="20"/>
        </w:rPr>
        <w:t>l’</w:t>
      </w:r>
      <w:r w:rsidRPr="00AA3A29">
        <w:rPr>
          <w:rFonts w:ascii="Arial" w:hAnsi="Arial" w:cs="Arial"/>
          <w:snapToGrid w:val="0"/>
          <w:sz w:val="20"/>
        </w:rPr>
        <w:t>ANM ha stipulato con la Regione Campania, in attesa della definizione delle procedure di affidamento concorsuale dei servizi.</w:t>
      </w:r>
    </w:p>
    <w:p w14:paraId="31652520" w14:textId="77777777" w:rsidR="00B924C9" w:rsidRPr="00B924C9" w:rsidRDefault="00374D20" w:rsidP="00B924C9">
      <w:pPr>
        <w:widowControl w:val="0"/>
        <w:tabs>
          <w:tab w:val="left" w:pos="1620"/>
          <w:tab w:val="num" w:pos="1980"/>
        </w:tabs>
        <w:spacing w:before="120" w:after="120"/>
        <w:jc w:val="both"/>
        <w:rPr>
          <w:rFonts w:ascii="Arial" w:hAnsi="Arial" w:cs="Arial"/>
          <w:snapToGrid w:val="0"/>
          <w:sz w:val="20"/>
        </w:rPr>
      </w:pPr>
      <w:r w:rsidRPr="00374D20">
        <w:rPr>
          <w:rFonts w:ascii="Arial" w:hAnsi="Arial" w:cs="Arial"/>
          <w:snapToGrid w:val="0"/>
          <w:sz w:val="20"/>
        </w:rPr>
        <w:t xml:space="preserve">Già nel corso del 2013 il servizio ha risentito di difficoltà produttive che imposero l’applicazione di una penalità pari al 5%. </w:t>
      </w:r>
      <w:r w:rsidR="00B924C9" w:rsidRPr="00B924C9">
        <w:rPr>
          <w:rFonts w:ascii="Arial" w:hAnsi="Arial" w:cs="Arial"/>
          <w:snapToGrid w:val="0"/>
          <w:sz w:val="20"/>
        </w:rPr>
        <w:t xml:space="preserve">Nel 2014 la Città Metropolitana, succeduta alla Provincia con L. 256/2014, </w:t>
      </w:r>
      <w:r w:rsidR="00B924C9" w:rsidRPr="00B924C9">
        <w:rPr>
          <w:rFonts w:ascii="Arial" w:hAnsi="Arial" w:cs="Arial"/>
          <w:snapToGrid w:val="0"/>
          <w:sz w:val="20"/>
        </w:rPr>
        <w:lastRenderedPageBreak/>
        <w:t>ha tagliato il corrispettivo ed il relativo volume produttivo del 10% corrispondente ad un livello produttivo di 5,9 milioni di Km, livello produttivo purtroppo non raggiunto. Il mancato raggiungimento dell’obiettivo ha imposto l’applicazione di una penale pari al 15%. Nel 2015 la Città Metropolitana richiese ad ANM un piano di esercizio che prevedeva l’effettuazione di 5.444.025 veic-km all’anno e l’Azienda, sebbene non ottemperò in toto alle prestazioni contemplate nel piano di esercizio a causa di criticità aziendali ascrivibili alla vetustà e limitato parco rotabile a disposizione, riuscì a registrare un lieve incremento produttivo rispetto ai precedenti esercizi nell’ottica di un efficientamento della gestione, ottenendo la stessa riduzione di corrispettivi dell’esercizio precedente. Successivamente, con la sottoscrizione di un accordo transattivo si è modificato, sulla base del modello dei costi standard, il corrispettivo unitario per KM passando da € 2,62 a € 3,76 per il triennio 2016-2018. Ciò ha consentito di incrementare i ricavi da corrispettivo da contratto di servizio per servizi suburbani, nonostante la flessione della produzione chilometrica (2.606.706 veic –km nel 2018), con un conguaglio per gli anni 2016-2017 di circa €/milioni 7,5 interamente incassato nel 2019. Al 31/12/2019 il credito complessivo vantato nei confronti di Città Metropolitana ammonta complessivamente a 13.149 €/000.</w:t>
      </w:r>
    </w:p>
    <w:p w14:paraId="104E1365" w14:textId="77777777" w:rsidR="00B924C9" w:rsidRPr="00B924C9" w:rsidRDefault="00B924C9" w:rsidP="00B924C9">
      <w:pPr>
        <w:widowControl w:val="0"/>
        <w:tabs>
          <w:tab w:val="left" w:pos="1620"/>
          <w:tab w:val="num" w:pos="1980"/>
        </w:tabs>
        <w:spacing w:before="120" w:after="120"/>
        <w:jc w:val="both"/>
        <w:rPr>
          <w:rFonts w:ascii="Arial" w:hAnsi="Arial" w:cs="Arial"/>
          <w:snapToGrid w:val="0"/>
          <w:sz w:val="20"/>
        </w:rPr>
      </w:pPr>
      <w:r w:rsidRPr="00B924C9">
        <w:rPr>
          <w:rFonts w:ascii="Arial" w:hAnsi="Arial" w:cs="Arial"/>
          <w:snapToGrid w:val="0"/>
          <w:sz w:val="20"/>
        </w:rPr>
        <w:t>Tale somma per 10.478 €/000 è relativa a crediti per fatture già emesse inerenti corrispettivi TPL per l’anno 2018 (circa 9.801 €/000) interamente incassati entro la data di redazione del presente documento e circa 677 €/000 per somme dovute all’ANM per il rinnovo contrattuale anni 2011-2012 ex decreti regionali 50 e 51 del 2017 ad oggi non ancora incassati. Mentre 2.671 €/000 riguardano il credito per fatture da emettere inerenti i corrispettivi dovuti dalla Città Metropolitana alla ANM Spa per i mesi ott-dic 2019, somme a tutt’oggi non incassate</w:t>
      </w:r>
    </w:p>
    <w:p w14:paraId="1E4ACA35" w14:textId="77777777" w:rsidR="00B02D21" w:rsidRPr="000014F8" w:rsidRDefault="00B70A25" w:rsidP="00526C0B">
      <w:pPr>
        <w:widowControl w:val="0"/>
        <w:tabs>
          <w:tab w:val="left" w:pos="1620"/>
          <w:tab w:val="num" w:pos="1980"/>
        </w:tabs>
        <w:spacing w:before="120" w:after="120"/>
        <w:jc w:val="both"/>
        <w:rPr>
          <w:rFonts w:ascii="Arial" w:hAnsi="Arial" w:cs="Arial"/>
          <w:snapToGrid w:val="0"/>
          <w:sz w:val="20"/>
        </w:rPr>
      </w:pPr>
      <w:r w:rsidRPr="000014F8">
        <w:rPr>
          <w:rFonts w:ascii="Arial" w:hAnsi="Arial" w:cs="Arial"/>
          <w:snapToGrid w:val="0"/>
          <w:sz w:val="20"/>
        </w:rPr>
        <w:t xml:space="preserve">Mentre per quanto riguarda </w:t>
      </w:r>
      <w:r w:rsidR="008607D2" w:rsidRPr="000014F8">
        <w:rPr>
          <w:rFonts w:ascii="Arial" w:hAnsi="Arial" w:cs="Arial"/>
          <w:snapToGrid w:val="0"/>
          <w:sz w:val="20"/>
        </w:rPr>
        <w:t xml:space="preserve">la </w:t>
      </w:r>
      <w:r w:rsidR="008F2871" w:rsidRPr="000014F8">
        <w:rPr>
          <w:rFonts w:ascii="Arial" w:hAnsi="Arial" w:cs="Arial"/>
          <w:snapToGrid w:val="0"/>
          <w:sz w:val="20"/>
        </w:rPr>
        <w:t>restante parte dei crediti verso clienti</w:t>
      </w:r>
      <w:r w:rsidRPr="000014F8">
        <w:rPr>
          <w:rFonts w:ascii="Arial" w:hAnsi="Arial" w:cs="Arial"/>
          <w:snapToGrid w:val="0"/>
          <w:sz w:val="20"/>
        </w:rPr>
        <w:t xml:space="preserve"> gli importi più significativi sono relativi </w:t>
      </w:r>
      <w:r w:rsidR="00B02D21" w:rsidRPr="000014F8">
        <w:rPr>
          <w:rFonts w:ascii="Arial" w:hAnsi="Arial" w:cs="Arial"/>
          <w:snapToGrid w:val="0"/>
          <w:sz w:val="20"/>
        </w:rPr>
        <w:t>a:</w:t>
      </w:r>
    </w:p>
    <w:p w14:paraId="363C15CB" w14:textId="77777777" w:rsidR="000014F8" w:rsidRDefault="008F2871" w:rsidP="00B924C9">
      <w:pPr>
        <w:numPr>
          <w:ilvl w:val="0"/>
          <w:numId w:val="7"/>
        </w:numPr>
        <w:spacing w:after="120" w:line="276" w:lineRule="auto"/>
        <w:ind w:left="567" w:hanging="357"/>
        <w:contextualSpacing/>
        <w:jc w:val="both"/>
        <w:rPr>
          <w:rFonts w:ascii="Arial" w:hAnsi="Arial" w:cs="Arial"/>
          <w:snapToGrid w:val="0"/>
          <w:sz w:val="20"/>
          <w:szCs w:val="22"/>
        </w:rPr>
      </w:pPr>
      <w:r w:rsidRPr="00B924C9">
        <w:rPr>
          <w:rFonts w:ascii="Arial" w:hAnsi="Arial" w:cs="Arial"/>
          <w:i/>
          <w:iCs/>
          <w:snapToGrid w:val="0"/>
          <w:sz w:val="20"/>
          <w:szCs w:val="22"/>
        </w:rPr>
        <w:t>crediti vs</w:t>
      </w:r>
      <w:r w:rsidRPr="00B924C9">
        <w:rPr>
          <w:rFonts w:ascii="Calibri" w:hAnsi="Calibri"/>
          <w:i/>
          <w:iCs/>
          <w:sz w:val="22"/>
          <w:szCs w:val="22"/>
        </w:rPr>
        <w:t xml:space="preserve"> </w:t>
      </w:r>
      <w:r w:rsidRPr="00B924C9">
        <w:rPr>
          <w:rFonts w:ascii="Arial" w:hAnsi="Arial" w:cs="Arial"/>
          <w:i/>
          <w:iCs/>
          <w:snapToGrid w:val="0"/>
          <w:sz w:val="20"/>
          <w:szCs w:val="22"/>
        </w:rPr>
        <w:t>i Comuni vari</w:t>
      </w:r>
      <w:r w:rsidRPr="000014F8">
        <w:rPr>
          <w:rFonts w:ascii="Arial" w:hAnsi="Arial" w:cs="Arial"/>
          <w:snapToGrid w:val="0"/>
          <w:sz w:val="20"/>
          <w:szCs w:val="22"/>
        </w:rPr>
        <w:t xml:space="preserve">, si riferiscono al riaddebito dei costi per il distacco di personale presso gli Enti locali ai sensi della L.816/85. Sono in corso iniziative legali per il recupero di parte di essi; </w:t>
      </w:r>
    </w:p>
    <w:p w14:paraId="3A1CCB9D" w14:textId="77777777" w:rsidR="00B924C9" w:rsidRDefault="00B02D21" w:rsidP="00EE474C">
      <w:pPr>
        <w:widowControl w:val="0"/>
        <w:numPr>
          <w:ilvl w:val="0"/>
          <w:numId w:val="3"/>
        </w:numPr>
        <w:spacing w:before="120" w:after="120" w:line="276" w:lineRule="auto"/>
        <w:ind w:left="567"/>
        <w:contextualSpacing/>
        <w:jc w:val="both"/>
        <w:rPr>
          <w:rFonts w:ascii="Arial" w:hAnsi="Arial" w:cs="Arial"/>
          <w:snapToGrid w:val="0"/>
          <w:sz w:val="20"/>
        </w:rPr>
      </w:pPr>
      <w:r w:rsidRPr="00B924C9">
        <w:rPr>
          <w:rFonts w:ascii="Arial" w:hAnsi="Arial" w:cs="Arial"/>
          <w:i/>
          <w:iCs/>
          <w:snapToGrid w:val="0"/>
          <w:sz w:val="20"/>
        </w:rPr>
        <w:t>crediti vs locatari</w:t>
      </w:r>
      <w:r w:rsidRPr="00B924C9">
        <w:rPr>
          <w:rFonts w:ascii="Arial" w:hAnsi="Arial" w:cs="Arial"/>
          <w:snapToGrid w:val="0"/>
          <w:sz w:val="20"/>
        </w:rPr>
        <w:t>: in particolare si fa riferimento ai crediti</w:t>
      </w:r>
      <w:r w:rsidR="008F2871" w:rsidRPr="00B924C9">
        <w:rPr>
          <w:rFonts w:ascii="Arial" w:hAnsi="Arial" w:cs="Arial"/>
          <w:snapToGrid w:val="0"/>
          <w:sz w:val="20"/>
        </w:rPr>
        <w:t xml:space="preserve"> </w:t>
      </w:r>
      <w:r w:rsidR="00B924C9" w:rsidRPr="00B924C9">
        <w:rPr>
          <w:rFonts w:ascii="Arial" w:hAnsi="Arial" w:cs="Arial"/>
          <w:snapToGrid w:val="0"/>
          <w:sz w:val="20"/>
        </w:rPr>
        <w:t>vantati nei confronti di conduttori di beni immobili la cui gestione è rimasta all’azienda sino alla restituzione al Comune di Napoli e crediti per fitti locali nelle stazioni metropolitane; i principali importi, oggetto peraltro di contenzioso, riguardano il Centro commerciale Vomero per 182 €/000 e Soc. Coop. Portabagagli per 231 €/000</w:t>
      </w:r>
    </w:p>
    <w:p w14:paraId="7DBC08B8" w14:textId="19617538" w:rsidR="00B02D21" w:rsidRPr="00B924C9" w:rsidRDefault="00B02D21" w:rsidP="00EE474C">
      <w:pPr>
        <w:widowControl w:val="0"/>
        <w:numPr>
          <w:ilvl w:val="0"/>
          <w:numId w:val="3"/>
        </w:numPr>
        <w:spacing w:before="120" w:after="120" w:line="276" w:lineRule="auto"/>
        <w:ind w:left="567"/>
        <w:contextualSpacing/>
        <w:jc w:val="both"/>
        <w:rPr>
          <w:rFonts w:ascii="Arial" w:hAnsi="Arial" w:cs="Arial"/>
          <w:snapToGrid w:val="0"/>
          <w:sz w:val="20"/>
        </w:rPr>
      </w:pPr>
      <w:r w:rsidRPr="00B924C9">
        <w:rPr>
          <w:rFonts w:ascii="Arial" w:hAnsi="Arial" w:cs="Arial"/>
          <w:i/>
          <w:iCs/>
          <w:snapToGrid w:val="0"/>
          <w:sz w:val="20"/>
        </w:rPr>
        <w:t xml:space="preserve">crediti </w:t>
      </w:r>
      <w:r w:rsidR="000014F8" w:rsidRPr="00B924C9">
        <w:rPr>
          <w:rFonts w:ascii="Arial" w:hAnsi="Arial" w:cs="Arial"/>
          <w:i/>
          <w:iCs/>
          <w:snapToGrid w:val="0"/>
          <w:sz w:val="20"/>
        </w:rPr>
        <w:t>verso Arpac e Azienda casertana</w:t>
      </w:r>
      <w:r w:rsidR="000014F8" w:rsidRPr="00B924C9">
        <w:rPr>
          <w:rFonts w:ascii="Arial" w:hAnsi="Arial" w:cs="Arial"/>
          <w:snapToGrid w:val="0"/>
          <w:sz w:val="20"/>
        </w:rPr>
        <w:t xml:space="preserve">, </w:t>
      </w:r>
      <w:r w:rsidRPr="00B924C9">
        <w:rPr>
          <w:rFonts w:ascii="Arial" w:hAnsi="Arial" w:cs="Arial"/>
          <w:snapToGrid w:val="0"/>
          <w:sz w:val="20"/>
        </w:rPr>
        <w:t xml:space="preserve">rispettivamente di </w:t>
      </w:r>
      <w:r w:rsidR="000014F8" w:rsidRPr="00B924C9">
        <w:rPr>
          <w:rFonts w:ascii="Arial" w:hAnsi="Arial" w:cs="Arial"/>
          <w:snapToGrid w:val="0"/>
          <w:sz w:val="20"/>
        </w:rPr>
        <w:t>159 €/000 e 242 €/000</w:t>
      </w:r>
      <w:r w:rsidRPr="00B924C9">
        <w:rPr>
          <w:rFonts w:ascii="Arial" w:hAnsi="Arial" w:cs="Arial"/>
          <w:snapToGrid w:val="0"/>
          <w:sz w:val="20"/>
        </w:rPr>
        <w:t xml:space="preserve"> mila</w:t>
      </w:r>
      <w:r w:rsidR="008F2871" w:rsidRPr="00B924C9">
        <w:rPr>
          <w:rFonts w:ascii="Arial" w:hAnsi="Arial" w:cs="Arial"/>
          <w:snapToGrid w:val="0"/>
          <w:sz w:val="20"/>
        </w:rPr>
        <w:t>, vantati dalla controllata</w:t>
      </w:r>
      <w:r w:rsidR="00B924C9">
        <w:rPr>
          <w:rFonts w:ascii="Arial" w:hAnsi="Arial" w:cs="Arial"/>
          <w:snapToGrid w:val="0"/>
          <w:sz w:val="20"/>
        </w:rPr>
        <w:t xml:space="preserve"> ed interamente svalutati</w:t>
      </w:r>
      <w:r w:rsidR="008F2871" w:rsidRPr="00B924C9">
        <w:rPr>
          <w:rFonts w:ascii="Arial" w:hAnsi="Arial" w:cs="Arial"/>
          <w:snapToGrid w:val="0"/>
          <w:sz w:val="20"/>
        </w:rPr>
        <w:t>;</w:t>
      </w:r>
    </w:p>
    <w:p w14:paraId="31A76E02" w14:textId="7D33128E" w:rsidR="00B02D21" w:rsidRPr="000014F8" w:rsidRDefault="00B02D21" w:rsidP="009435F3">
      <w:pPr>
        <w:widowControl w:val="0"/>
        <w:numPr>
          <w:ilvl w:val="0"/>
          <w:numId w:val="3"/>
        </w:numPr>
        <w:spacing w:before="120" w:after="120"/>
        <w:ind w:left="567"/>
        <w:jc w:val="both"/>
        <w:rPr>
          <w:rFonts w:ascii="Arial" w:hAnsi="Arial" w:cs="Arial"/>
          <w:snapToGrid w:val="0"/>
          <w:sz w:val="20"/>
        </w:rPr>
      </w:pPr>
      <w:r w:rsidRPr="00B924C9">
        <w:rPr>
          <w:rFonts w:ascii="Arial" w:hAnsi="Arial" w:cs="Arial"/>
          <w:i/>
          <w:iCs/>
          <w:snapToGrid w:val="0"/>
          <w:sz w:val="20"/>
        </w:rPr>
        <w:t>credito verso la Bredamenarinibus</w:t>
      </w:r>
      <w:r w:rsidRPr="000014F8">
        <w:rPr>
          <w:rFonts w:ascii="Arial" w:hAnsi="Arial" w:cs="Arial"/>
          <w:snapToGrid w:val="0"/>
          <w:sz w:val="20"/>
        </w:rPr>
        <w:t xml:space="preserve"> per </w:t>
      </w:r>
      <w:r w:rsidR="008F2871" w:rsidRPr="000014F8">
        <w:rPr>
          <w:rFonts w:ascii="Arial" w:hAnsi="Arial" w:cs="Arial"/>
          <w:snapToGrid w:val="0"/>
          <w:sz w:val="20"/>
        </w:rPr>
        <w:t xml:space="preserve">addebito penali (110 </w:t>
      </w:r>
      <w:r w:rsidR="00FA68F4" w:rsidRPr="00B924C9">
        <w:rPr>
          <w:rFonts w:ascii="Arial" w:hAnsi="Arial" w:cs="Arial"/>
          <w:snapToGrid w:val="0"/>
          <w:sz w:val="20"/>
        </w:rPr>
        <w:t>€/000</w:t>
      </w:r>
      <w:r w:rsidR="008F2871" w:rsidRPr="000014F8">
        <w:rPr>
          <w:rFonts w:ascii="Arial" w:hAnsi="Arial" w:cs="Arial"/>
          <w:snapToGrid w:val="0"/>
          <w:sz w:val="20"/>
        </w:rPr>
        <w:t>) vantato dalla controllata</w:t>
      </w:r>
      <w:r w:rsidR="00B924C9">
        <w:rPr>
          <w:rFonts w:ascii="Arial" w:hAnsi="Arial" w:cs="Arial"/>
          <w:snapToGrid w:val="0"/>
          <w:sz w:val="20"/>
        </w:rPr>
        <w:t>, interamente svalutato</w:t>
      </w:r>
      <w:r w:rsidR="008F2871" w:rsidRPr="000014F8">
        <w:rPr>
          <w:rFonts w:ascii="Arial" w:hAnsi="Arial" w:cs="Arial"/>
          <w:snapToGrid w:val="0"/>
          <w:sz w:val="20"/>
        </w:rPr>
        <w:t>;</w:t>
      </w:r>
    </w:p>
    <w:p w14:paraId="7F34239B" w14:textId="77777777" w:rsidR="00374D20" w:rsidRDefault="00B924C9" w:rsidP="00374D20">
      <w:pPr>
        <w:widowControl w:val="0"/>
        <w:spacing w:before="120" w:after="120"/>
        <w:jc w:val="both"/>
        <w:rPr>
          <w:rFonts w:ascii="Arial" w:hAnsi="Arial" w:cs="Arial"/>
          <w:snapToGrid w:val="0"/>
          <w:sz w:val="20"/>
        </w:rPr>
      </w:pPr>
      <w:r w:rsidRPr="00B924C9">
        <w:rPr>
          <w:rFonts w:ascii="Arial" w:hAnsi="Arial" w:cs="Arial"/>
          <w:snapToGrid w:val="0"/>
          <w:sz w:val="20"/>
        </w:rPr>
        <w:t>Il fondo svalutazione è stato rilasciato per 378 €/</w:t>
      </w:r>
      <w:r w:rsidR="0008614F" w:rsidRPr="00B924C9">
        <w:rPr>
          <w:rFonts w:ascii="Arial" w:hAnsi="Arial" w:cs="Arial"/>
          <w:snapToGrid w:val="0"/>
          <w:sz w:val="20"/>
        </w:rPr>
        <w:t>000,</w:t>
      </w:r>
      <w:r w:rsidRPr="00B924C9">
        <w:rPr>
          <w:rFonts w:ascii="Arial" w:hAnsi="Arial" w:cs="Arial"/>
          <w:snapToGrid w:val="0"/>
          <w:sz w:val="20"/>
        </w:rPr>
        <w:t xml:space="preserve"> </w:t>
      </w:r>
      <w:r w:rsidR="0008614F" w:rsidRPr="00B924C9">
        <w:rPr>
          <w:rFonts w:ascii="Arial" w:hAnsi="Arial" w:cs="Arial"/>
          <w:snapToGrid w:val="0"/>
          <w:sz w:val="20"/>
        </w:rPr>
        <w:t>accantonati per</w:t>
      </w:r>
      <w:r w:rsidRPr="00B924C9">
        <w:rPr>
          <w:rFonts w:ascii="Arial" w:hAnsi="Arial" w:cs="Arial"/>
          <w:snapToGrid w:val="0"/>
          <w:sz w:val="20"/>
        </w:rPr>
        <w:t xml:space="preserve"> i crediti verso Sepsa  (151€/000,)  e Metro Campania e (227 €/000)</w:t>
      </w:r>
      <w:r w:rsidR="00FA68F4">
        <w:rPr>
          <w:rFonts w:ascii="Arial" w:hAnsi="Arial" w:cs="Arial"/>
          <w:snapToGrid w:val="0"/>
          <w:sz w:val="20"/>
        </w:rPr>
        <w:t xml:space="preserve"> </w:t>
      </w:r>
      <w:r w:rsidRPr="00B924C9">
        <w:rPr>
          <w:rFonts w:ascii="Arial" w:hAnsi="Arial" w:cs="Arial"/>
          <w:snapToGrid w:val="0"/>
          <w:sz w:val="20"/>
        </w:rPr>
        <w:t>e a seguito della transazione firmata con la EAV in cui i rispettivi creditori si sono fusi.</w:t>
      </w:r>
    </w:p>
    <w:p w14:paraId="0E46EC32" w14:textId="77777777" w:rsidR="00567810" w:rsidRDefault="00B924C9" w:rsidP="00374D20">
      <w:pPr>
        <w:widowControl w:val="0"/>
        <w:spacing w:before="120" w:after="120"/>
        <w:jc w:val="both"/>
        <w:rPr>
          <w:rFonts w:ascii="Arial" w:hAnsi="Arial" w:cs="Arial"/>
          <w:snapToGrid w:val="0"/>
          <w:sz w:val="20"/>
        </w:rPr>
      </w:pPr>
      <w:r>
        <w:rPr>
          <w:rFonts w:ascii="Arial" w:hAnsi="Arial" w:cs="Arial"/>
          <w:snapToGrid w:val="0"/>
          <w:sz w:val="20"/>
        </w:rPr>
        <w:t xml:space="preserve">Si annoverano infine i </w:t>
      </w:r>
      <w:r w:rsidRPr="00B924C9">
        <w:rPr>
          <w:rFonts w:ascii="Arial" w:hAnsi="Arial" w:cs="Arial"/>
          <w:i/>
          <w:iCs/>
          <w:snapToGrid w:val="0"/>
          <w:sz w:val="20"/>
        </w:rPr>
        <w:t>crediti p</w:t>
      </w:r>
      <w:r w:rsidR="00567810" w:rsidRPr="00B924C9">
        <w:rPr>
          <w:rFonts w:ascii="Arial" w:hAnsi="Arial" w:cs="Arial"/>
          <w:i/>
          <w:iCs/>
          <w:snapToGrid w:val="0"/>
          <w:sz w:val="20"/>
        </w:rPr>
        <w:t>er irregolarità viaggi</w:t>
      </w:r>
      <w:r>
        <w:rPr>
          <w:rFonts w:ascii="Arial" w:hAnsi="Arial" w:cs="Arial"/>
          <w:snapToGrid w:val="0"/>
          <w:sz w:val="20"/>
        </w:rPr>
        <w:t xml:space="preserve">, </w:t>
      </w:r>
      <w:r w:rsidR="00567810" w:rsidRPr="00567810">
        <w:rPr>
          <w:rFonts w:ascii="Arial" w:hAnsi="Arial" w:cs="Arial"/>
          <w:snapToGrid w:val="0"/>
          <w:sz w:val="20"/>
        </w:rPr>
        <w:t xml:space="preserve">pari ad </w:t>
      </w:r>
      <w:r w:rsidR="0008614F" w:rsidRPr="00567810">
        <w:rPr>
          <w:rFonts w:ascii="Arial" w:hAnsi="Arial" w:cs="Arial"/>
          <w:snapToGrid w:val="0"/>
          <w:sz w:val="20"/>
        </w:rPr>
        <w:t>euro</w:t>
      </w:r>
      <w:r w:rsidR="00567810" w:rsidRPr="00567810">
        <w:rPr>
          <w:rFonts w:ascii="Arial" w:hAnsi="Arial" w:cs="Arial"/>
          <w:snapToGrid w:val="0"/>
          <w:sz w:val="20"/>
        </w:rPr>
        <w:t xml:space="preserve"> 759 €/</w:t>
      </w:r>
      <w:r w:rsidR="00A45067" w:rsidRPr="00567810">
        <w:rPr>
          <w:rFonts w:ascii="Arial" w:hAnsi="Arial" w:cs="Arial"/>
          <w:snapToGrid w:val="0"/>
          <w:sz w:val="20"/>
        </w:rPr>
        <w:t>000</w:t>
      </w:r>
      <w:r w:rsidR="00A45067">
        <w:rPr>
          <w:rFonts w:ascii="Arial" w:hAnsi="Arial" w:cs="Arial"/>
          <w:snapToGrid w:val="0"/>
          <w:sz w:val="20"/>
        </w:rPr>
        <w:t xml:space="preserve">, </w:t>
      </w:r>
      <w:r w:rsidR="00A45067" w:rsidRPr="00567810">
        <w:rPr>
          <w:rFonts w:ascii="Arial" w:hAnsi="Arial" w:cs="Arial"/>
          <w:snapToGrid w:val="0"/>
          <w:sz w:val="20"/>
        </w:rPr>
        <w:t>derivanti</w:t>
      </w:r>
      <w:r w:rsidR="00567810" w:rsidRPr="00567810">
        <w:rPr>
          <w:rFonts w:ascii="Arial" w:hAnsi="Arial" w:cs="Arial"/>
          <w:snapToGrid w:val="0"/>
          <w:sz w:val="20"/>
        </w:rPr>
        <w:t xml:space="preserve"> dalla gestione ex MTN </w:t>
      </w:r>
      <w:r w:rsidR="00A45067">
        <w:rPr>
          <w:rFonts w:ascii="Arial" w:hAnsi="Arial" w:cs="Arial"/>
          <w:snapToGrid w:val="0"/>
          <w:sz w:val="20"/>
        </w:rPr>
        <w:t xml:space="preserve">e si </w:t>
      </w:r>
      <w:r w:rsidR="00567810" w:rsidRPr="00567810">
        <w:rPr>
          <w:rFonts w:ascii="Arial" w:hAnsi="Arial" w:cs="Arial"/>
          <w:snapToGrid w:val="0"/>
          <w:sz w:val="20"/>
        </w:rPr>
        <w:t>riferiscono alle sanzioni da riscuotere ancora per irregolarità e vertenze viaggi elevate nell’esercizio in esame e nei precedenti, nonché alle somme non ancora incassate di vertenze viaggi per le quali si è avviato il recupero coattivo tramite le competenti Esattorie territoriali. Il relativo fondo svalutazione di 314 €/000 non ha subito variazioni.</w:t>
      </w:r>
    </w:p>
    <w:p w14:paraId="51DFE971" w14:textId="77777777" w:rsidR="00FA68F4" w:rsidRDefault="00FA68F4" w:rsidP="00374D20">
      <w:pPr>
        <w:widowControl w:val="0"/>
        <w:spacing w:before="120" w:after="120"/>
        <w:jc w:val="both"/>
        <w:rPr>
          <w:rFonts w:ascii="Arial" w:hAnsi="Arial" w:cs="Arial"/>
          <w:snapToGrid w:val="0"/>
          <w:sz w:val="20"/>
        </w:rPr>
      </w:pPr>
    </w:p>
    <w:p w14:paraId="160B857F" w14:textId="77777777" w:rsidR="00017462" w:rsidRPr="00985872" w:rsidRDefault="00017462" w:rsidP="00526C0B">
      <w:pPr>
        <w:widowControl w:val="0"/>
        <w:spacing w:before="120" w:after="120"/>
        <w:jc w:val="both"/>
        <w:rPr>
          <w:rFonts w:ascii="Arial" w:hAnsi="Arial" w:cs="Arial"/>
          <w:b/>
          <w:snapToGrid w:val="0"/>
          <w:sz w:val="20"/>
          <w:u w:val="single"/>
        </w:rPr>
      </w:pPr>
      <w:r w:rsidRPr="00985872">
        <w:rPr>
          <w:rFonts w:ascii="Arial" w:hAnsi="Arial" w:cs="Arial"/>
          <w:b/>
          <w:snapToGrid w:val="0"/>
          <w:sz w:val="20"/>
          <w:u w:val="single"/>
        </w:rPr>
        <w:t>Crediti verso collegate</w:t>
      </w:r>
    </w:p>
    <w:p w14:paraId="183EF431" w14:textId="77777777" w:rsidR="005D2B54" w:rsidRDefault="00D24AB6" w:rsidP="00526C0B">
      <w:pPr>
        <w:widowControl w:val="0"/>
        <w:tabs>
          <w:tab w:val="left" w:pos="1620"/>
          <w:tab w:val="num" w:pos="1980"/>
        </w:tabs>
        <w:spacing w:before="120" w:after="120"/>
        <w:jc w:val="both"/>
        <w:rPr>
          <w:rFonts w:ascii="Arial" w:hAnsi="Arial" w:cs="Arial"/>
          <w:snapToGrid w:val="0"/>
          <w:sz w:val="20"/>
        </w:rPr>
      </w:pPr>
      <w:r w:rsidRPr="00D24AB6">
        <w:rPr>
          <w:rFonts w:ascii="Arial" w:hAnsi="Arial" w:cs="Arial"/>
          <w:snapToGrid w:val="0"/>
          <w:sz w:val="20"/>
        </w:rPr>
        <w:t>Il Credito</w:t>
      </w:r>
      <w:r w:rsidR="0052233E">
        <w:rPr>
          <w:rFonts w:ascii="Arial" w:hAnsi="Arial" w:cs="Arial"/>
          <w:snapToGrid w:val="0"/>
          <w:sz w:val="20"/>
        </w:rPr>
        <w:t xml:space="preserve"> verso imprese collegate accoglie il credito</w:t>
      </w:r>
      <w:r w:rsidR="0022779F">
        <w:rPr>
          <w:rFonts w:ascii="Arial" w:hAnsi="Arial" w:cs="Arial"/>
          <w:snapToGrid w:val="0"/>
          <w:sz w:val="20"/>
        </w:rPr>
        <w:t xml:space="preserve"> </w:t>
      </w:r>
      <w:r w:rsidR="0022779F" w:rsidRPr="0022779F">
        <w:rPr>
          <w:rFonts w:ascii="Arial" w:hAnsi="Arial" w:cs="Arial"/>
          <w:snapToGrid w:val="0"/>
          <w:sz w:val="20"/>
        </w:rPr>
        <w:t xml:space="preserve">vantato dalla </w:t>
      </w:r>
      <w:r w:rsidR="00A45067" w:rsidRPr="0022779F">
        <w:rPr>
          <w:rFonts w:ascii="Arial" w:hAnsi="Arial" w:cs="Arial"/>
          <w:snapToGrid w:val="0"/>
          <w:sz w:val="20"/>
        </w:rPr>
        <w:t xml:space="preserve">controllata </w:t>
      </w:r>
      <w:r w:rsidR="00A45067">
        <w:rPr>
          <w:rFonts w:ascii="Arial" w:hAnsi="Arial" w:cs="Arial"/>
          <w:snapToGrid w:val="0"/>
          <w:sz w:val="20"/>
        </w:rPr>
        <w:t>nei</w:t>
      </w:r>
      <w:r w:rsidR="00A22B5D">
        <w:rPr>
          <w:rFonts w:ascii="Arial" w:hAnsi="Arial" w:cs="Arial"/>
          <w:snapToGrid w:val="0"/>
          <w:sz w:val="20"/>
        </w:rPr>
        <w:t xml:space="preserve"> confronti del Consorzio UnicoC</w:t>
      </w:r>
      <w:r w:rsidRPr="00D24AB6">
        <w:rPr>
          <w:rFonts w:ascii="Arial" w:hAnsi="Arial" w:cs="Arial"/>
          <w:snapToGrid w:val="0"/>
          <w:sz w:val="20"/>
        </w:rPr>
        <w:t>ampania</w:t>
      </w:r>
      <w:r w:rsidR="0022779F">
        <w:rPr>
          <w:rFonts w:ascii="Arial" w:hAnsi="Arial" w:cs="Arial"/>
          <w:snapToGrid w:val="0"/>
          <w:sz w:val="20"/>
        </w:rPr>
        <w:t xml:space="preserve">. </w:t>
      </w:r>
      <w:r w:rsidR="0022779F" w:rsidRPr="0022779F">
        <w:rPr>
          <w:rFonts w:ascii="Arial" w:hAnsi="Arial" w:cs="Arial"/>
          <w:snapToGrid w:val="0"/>
          <w:sz w:val="20"/>
        </w:rPr>
        <w:t>Di seguito il dettaglio</w:t>
      </w:r>
      <w:r w:rsidR="005D2B54">
        <w:rPr>
          <w:rFonts w:ascii="Arial" w:hAnsi="Arial" w:cs="Arial"/>
          <w:snapToGrid w:val="0"/>
          <w:sz w:val="20"/>
        </w:rPr>
        <w:t>:</w:t>
      </w:r>
    </w:p>
    <w:p w14:paraId="530D0CC3" w14:textId="42940FE7" w:rsidR="0022779F" w:rsidRDefault="005D2B54" w:rsidP="008B3BFA">
      <w:pPr>
        <w:tabs>
          <w:tab w:val="left" w:pos="1620"/>
          <w:tab w:val="num" w:pos="1980"/>
        </w:tabs>
        <w:spacing w:before="120"/>
        <w:rPr>
          <w:rFonts w:ascii="Arial" w:hAnsi="Arial" w:cs="Arial"/>
          <w:snapToGrid w:val="0"/>
          <w:sz w:val="20"/>
        </w:rPr>
      </w:pPr>
      <w:r w:rsidRPr="005D2B54">
        <w:rPr>
          <w:rFonts w:ascii="Arial" w:hAnsi="Arial" w:cs="Arial"/>
          <w:b/>
          <w:bCs/>
          <w:i/>
          <w:iCs/>
          <w:sz w:val="20"/>
        </w:rPr>
        <w:t xml:space="preserve"> </w:t>
      </w:r>
      <w:r w:rsidRPr="005D2B54">
        <w:rPr>
          <w:rFonts w:ascii="Arial" w:hAnsi="Arial" w:cs="Arial"/>
          <w:b/>
          <w:bCs/>
          <w:i/>
          <w:iCs/>
          <w:snapToGrid w:val="0"/>
          <w:sz w:val="20"/>
        </w:rPr>
        <w:t>Euro migliaia</w:t>
      </w:r>
    </w:p>
    <w:tbl>
      <w:tblPr>
        <w:tblW w:w="8505" w:type="dxa"/>
        <w:tblInd w:w="70" w:type="dxa"/>
        <w:tblCellMar>
          <w:left w:w="70" w:type="dxa"/>
          <w:right w:w="70" w:type="dxa"/>
        </w:tblCellMar>
        <w:tblLook w:val="04A0" w:firstRow="1" w:lastRow="0" w:firstColumn="1" w:lastColumn="0" w:noHBand="0" w:noVBand="1"/>
      </w:tblPr>
      <w:tblGrid>
        <w:gridCol w:w="5387"/>
        <w:gridCol w:w="146"/>
        <w:gridCol w:w="1271"/>
        <w:gridCol w:w="1701"/>
      </w:tblGrid>
      <w:tr w:rsidR="00007FF2" w14:paraId="5636743D" w14:textId="77777777" w:rsidTr="00007FF2">
        <w:trPr>
          <w:trHeight w:val="300"/>
        </w:trPr>
        <w:tc>
          <w:tcPr>
            <w:tcW w:w="5387" w:type="dxa"/>
            <w:tcBorders>
              <w:top w:val="single" w:sz="8" w:space="0" w:color="auto"/>
              <w:left w:val="nil"/>
              <w:bottom w:val="single" w:sz="8" w:space="0" w:color="auto"/>
              <w:right w:val="nil"/>
            </w:tcBorders>
            <w:shd w:val="clear" w:color="auto" w:fill="auto"/>
            <w:vAlign w:val="center"/>
            <w:hideMark/>
          </w:tcPr>
          <w:p w14:paraId="36AF7473" w14:textId="77777777" w:rsidR="00007FF2" w:rsidRDefault="00007FF2">
            <w:pPr>
              <w:jc w:val="both"/>
              <w:rPr>
                <w:rFonts w:ascii="Arial" w:hAnsi="Arial" w:cs="Arial"/>
                <w:b/>
                <w:bCs/>
                <w:sz w:val="16"/>
                <w:szCs w:val="16"/>
              </w:rPr>
            </w:pPr>
            <w:r>
              <w:rPr>
                <w:rFonts w:ascii="Arial" w:hAnsi="Arial" w:cs="Arial"/>
                <w:b/>
                <w:bCs/>
                <w:sz w:val="16"/>
                <w:szCs w:val="16"/>
              </w:rPr>
              <w:lastRenderedPageBreak/>
              <w:t>Segue II. CREDITI</w:t>
            </w:r>
          </w:p>
        </w:tc>
        <w:tc>
          <w:tcPr>
            <w:tcW w:w="146" w:type="dxa"/>
            <w:tcBorders>
              <w:top w:val="nil"/>
              <w:left w:val="nil"/>
              <w:bottom w:val="nil"/>
              <w:right w:val="nil"/>
            </w:tcBorders>
            <w:shd w:val="clear" w:color="auto" w:fill="auto"/>
            <w:vAlign w:val="center"/>
            <w:hideMark/>
          </w:tcPr>
          <w:p w14:paraId="041330EE" w14:textId="77777777" w:rsidR="00007FF2" w:rsidRDefault="00007FF2">
            <w:pPr>
              <w:jc w:val="both"/>
              <w:rPr>
                <w:rFonts w:ascii="Arial" w:hAnsi="Arial" w:cs="Arial"/>
                <w:b/>
                <w:bCs/>
                <w:sz w:val="16"/>
                <w:szCs w:val="16"/>
              </w:rPr>
            </w:pPr>
          </w:p>
        </w:tc>
        <w:tc>
          <w:tcPr>
            <w:tcW w:w="1271" w:type="dxa"/>
            <w:tcBorders>
              <w:top w:val="single" w:sz="8" w:space="0" w:color="auto"/>
              <w:left w:val="nil"/>
              <w:bottom w:val="single" w:sz="8" w:space="0" w:color="auto"/>
              <w:right w:val="nil"/>
            </w:tcBorders>
            <w:shd w:val="clear" w:color="auto" w:fill="auto"/>
            <w:vAlign w:val="center"/>
            <w:hideMark/>
          </w:tcPr>
          <w:p w14:paraId="6F48C312" w14:textId="77777777" w:rsidR="00007FF2" w:rsidRDefault="00007FF2">
            <w:pPr>
              <w:jc w:val="center"/>
              <w:rPr>
                <w:rFonts w:ascii="Arial" w:hAnsi="Arial" w:cs="Arial"/>
                <w:b/>
                <w:bCs/>
                <w:sz w:val="16"/>
                <w:szCs w:val="16"/>
              </w:rPr>
            </w:pPr>
            <w:r>
              <w:rPr>
                <w:rFonts w:ascii="Arial" w:hAnsi="Arial" w:cs="Arial"/>
                <w:b/>
                <w:bCs/>
                <w:sz w:val="16"/>
                <w:szCs w:val="16"/>
              </w:rPr>
              <w:t>Esercizio 19</w:t>
            </w:r>
          </w:p>
        </w:tc>
        <w:tc>
          <w:tcPr>
            <w:tcW w:w="1701" w:type="dxa"/>
            <w:tcBorders>
              <w:top w:val="single" w:sz="8" w:space="0" w:color="auto"/>
              <w:left w:val="nil"/>
              <w:bottom w:val="single" w:sz="8" w:space="0" w:color="auto"/>
              <w:right w:val="nil"/>
            </w:tcBorders>
            <w:shd w:val="clear" w:color="auto" w:fill="auto"/>
            <w:vAlign w:val="center"/>
            <w:hideMark/>
          </w:tcPr>
          <w:p w14:paraId="5570749C" w14:textId="77777777" w:rsidR="00007FF2" w:rsidRDefault="00007FF2">
            <w:pPr>
              <w:jc w:val="center"/>
              <w:rPr>
                <w:rFonts w:ascii="Arial" w:hAnsi="Arial" w:cs="Arial"/>
                <w:b/>
                <w:bCs/>
                <w:sz w:val="16"/>
                <w:szCs w:val="16"/>
              </w:rPr>
            </w:pPr>
            <w:r>
              <w:rPr>
                <w:rFonts w:ascii="Arial" w:hAnsi="Arial" w:cs="Arial"/>
                <w:b/>
                <w:bCs/>
                <w:sz w:val="16"/>
                <w:szCs w:val="16"/>
              </w:rPr>
              <w:t>Esercizio 18</w:t>
            </w:r>
          </w:p>
        </w:tc>
      </w:tr>
      <w:tr w:rsidR="00007FF2" w14:paraId="226DEB73" w14:textId="77777777" w:rsidTr="00007FF2">
        <w:trPr>
          <w:trHeight w:val="300"/>
        </w:trPr>
        <w:tc>
          <w:tcPr>
            <w:tcW w:w="5387" w:type="dxa"/>
            <w:tcBorders>
              <w:top w:val="nil"/>
              <w:left w:val="nil"/>
              <w:bottom w:val="nil"/>
              <w:right w:val="nil"/>
            </w:tcBorders>
            <w:shd w:val="clear" w:color="auto" w:fill="auto"/>
            <w:noWrap/>
            <w:vAlign w:val="bottom"/>
            <w:hideMark/>
          </w:tcPr>
          <w:p w14:paraId="021633C3" w14:textId="77777777" w:rsidR="00007FF2" w:rsidRDefault="00007FF2">
            <w:pPr>
              <w:rPr>
                <w:rFonts w:ascii="Arial" w:hAnsi="Arial" w:cs="Arial"/>
                <w:sz w:val="20"/>
                <w:szCs w:val="20"/>
              </w:rPr>
            </w:pPr>
            <w:r>
              <w:rPr>
                <w:rFonts w:ascii="Arial" w:hAnsi="Arial" w:cs="Arial"/>
                <w:sz w:val="20"/>
                <w:szCs w:val="20"/>
              </w:rPr>
              <w:t xml:space="preserve"> 3-Verso imprese collegate (entro l’eserc.) </w:t>
            </w:r>
          </w:p>
        </w:tc>
        <w:tc>
          <w:tcPr>
            <w:tcW w:w="146" w:type="dxa"/>
            <w:tcBorders>
              <w:top w:val="nil"/>
              <w:left w:val="nil"/>
              <w:bottom w:val="nil"/>
              <w:right w:val="nil"/>
            </w:tcBorders>
            <w:shd w:val="clear" w:color="auto" w:fill="auto"/>
            <w:vAlign w:val="center"/>
            <w:hideMark/>
          </w:tcPr>
          <w:p w14:paraId="28CC6D06" w14:textId="77777777" w:rsidR="00007FF2" w:rsidRDefault="00007FF2">
            <w:pPr>
              <w:rPr>
                <w:rFonts w:ascii="Arial" w:hAnsi="Arial" w:cs="Arial"/>
                <w:sz w:val="20"/>
                <w:szCs w:val="20"/>
              </w:rPr>
            </w:pPr>
          </w:p>
        </w:tc>
        <w:tc>
          <w:tcPr>
            <w:tcW w:w="1271" w:type="dxa"/>
            <w:tcBorders>
              <w:top w:val="nil"/>
              <w:left w:val="nil"/>
              <w:bottom w:val="nil"/>
              <w:right w:val="nil"/>
            </w:tcBorders>
            <w:shd w:val="clear" w:color="auto" w:fill="auto"/>
            <w:vAlign w:val="center"/>
            <w:hideMark/>
          </w:tcPr>
          <w:p w14:paraId="457F46F7" w14:textId="77777777" w:rsidR="00007FF2" w:rsidRDefault="00007FF2">
            <w:pPr>
              <w:jc w:val="center"/>
              <w:rPr>
                <w:rFonts w:ascii="Arial" w:hAnsi="Arial" w:cs="Arial"/>
                <w:b/>
                <w:bCs/>
                <w:sz w:val="16"/>
                <w:szCs w:val="16"/>
              </w:rPr>
            </w:pPr>
            <w:r>
              <w:rPr>
                <w:rFonts w:ascii="Arial" w:hAnsi="Arial" w:cs="Arial"/>
                <w:b/>
                <w:bCs/>
                <w:sz w:val="16"/>
                <w:szCs w:val="16"/>
              </w:rPr>
              <w:t>8.945</w:t>
            </w:r>
          </w:p>
        </w:tc>
        <w:tc>
          <w:tcPr>
            <w:tcW w:w="1701" w:type="dxa"/>
            <w:tcBorders>
              <w:top w:val="nil"/>
              <w:left w:val="nil"/>
              <w:bottom w:val="nil"/>
              <w:right w:val="nil"/>
            </w:tcBorders>
            <w:shd w:val="clear" w:color="auto" w:fill="auto"/>
            <w:vAlign w:val="center"/>
            <w:hideMark/>
          </w:tcPr>
          <w:p w14:paraId="3ED23CA9" w14:textId="77777777" w:rsidR="00007FF2" w:rsidRDefault="00007FF2">
            <w:pPr>
              <w:jc w:val="center"/>
              <w:rPr>
                <w:rFonts w:ascii="Arial" w:hAnsi="Arial" w:cs="Arial"/>
                <w:b/>
                <w:bCs/>
                <w:sz w:val="16"/>
                <w:szCs w:val="16"/>
              </w:rPr>
            </w:pPr>
            <w:r>
              <w:rPr>
                <w:rFonts w:ascii="Arial" w:hAnsi="Arial" w:cs="Arial"/>
                <w:b/>
                <w:bCs/>
                <w:sz w:val="16"/>
                <w:szCs w:val="16"/>
              </w:rPr>
              <w:t>9.400</w:t>
            </w:r>
          </w:p>
        </w:tc>
      </w:tr>
      <w:tr w:rsidR="00007FF2" w14:paraId="07C4F488" w14:textId="77777777" w:rsidTr="00007FF2">
        <w:trPr>
          <w:trHeight w:val="300"/>
        </w:trPr>
        <w:tc>
          <w:tcPr>
            <w:tcW w:w="5387" w:type="dxa"/>
            <w:tcBorders>
              <w:top w:val="nil"/>
              <w:left w:val="nil"/>
              <w:bottom w:val="nil"/>
              <w:right w:val="nil"/>
            </w:tcBorders>
            <w:shd w:val="clear" w:color="auto" w:fill="auto"/>
            <w:noWrap/>
            <w:vAlign w:val="bottom"/>
            <w:hideMark/>
          </w:tcPr>
          <w:p w14:paraId="6DEE5C43" w14:textId="77777777" w:rsidR="00007FF2" w:rsidRDefault="00007FF2">
            <w:pPr>
              <w:jc w:val="center"/>
              <w:rPr>
                <w:rFonts w:ascii="Arial" w:hAnsi="Arial" w:cs="Arial"/>
                <w:b/>
                <w:bCs/>
                <w:sz w:val="16"/>
                <w:szCs w:val="16"/>
              </w:rPr>
            </w:pPr>
          </w:p>
        </w:tc>
        <w:tc>
          <w:tcPr>
            <w:tcW w:w="146" w:type="dxa"/>
            <w:tcBorders>
              <w:top w:val="nil"/>
              <w:left w:val="nil"/>
              <w:bottom w:val="nil"/>
              <w:right w:val="nil"/>
            </w:tcBorders>
            <w:shd w:val="clear" w:color="auto" w:fill="auto"/>
            <w:vAlign w:val="center"/>
            <w:hideMark/>
          </w:tcPr>
          <w:p w14:paraId="6C566D19" w14:textId="77777777" w:rsidR="00007FF2" w:rsidRDefault="00007FF2">
            <w:pPr>
              <w:rPr>
                <w:sz w:val="20"/>
                <w:szCs w:val="20"/>
              </w:rPr>
            </w:pPr>
          </w:p>
        </w:tc>
        <w:tc>
          <w:tcPr>
            <w:tcW w:w="1271" w:type="dxa"/>
            <w:tcBorders>
              <w:top w:val="nil"/>
              <w:left w:val="nil"/>
              <w:bottom w:val="nil"/>
              <w:right w:val="nil"/>
            </w:tcBorders>
            <w:shd w:val="clear" w:color="auto" w:fill="auto"/>
            <w:vAlign w:val="center"/>
            <w:hideMark/>
          </w:tcPr>
          <w:p w14:paraId="4AA4548A" w14:textId="77777777" w:rsidR="00007FF2" w:rsidRDefault="00007FF2">
            <w:pPr>
              <w:jc w:val="center"/>
              <w:rPr>
                <w:sz w:val="20"/>
                <w:szCs w:val="20"/>
              </w:rPr>
            </w:pPr>
          </w:p>
        </w:tc>
        <w:tc>
          <w:tcPr>
            <w:tcW w:w="1701" w:type="dxa"/>
            <w:tcBorders>
              <w:top w:val="nil"/>
              <w:left w:val="nil"/>
              <w:bottom w:val="nil"/>
              <w:right w:val="nil"/>
            </w:tcBorders>
            <w:shd w:val="clear" w:color="auto" w:fill="auto"/>
            <w:vAlign w:val="center"/>
            <w:hideMark/>
          </w:tcPr>
          <w:p w14:paraId="1D4C00BC" w14:textId="77777777" w:rsidR="00007FF2" w:rsidRDefault="00007FF2">
            <w:pPr>
              <w:rPr>
                <w:sz w:val="20"/>
                <w:szCs w:val="20"/>
              </w:rPr>
            </w:pPr>
          </w:p>
        </w:tc>
      </w:tr>
      <w:tr w:rsidR="00007FF2" w14:paraId="5831CC43" w14:textId="77777777" w:rsidTr="00007FF2">
        <w:trPr>
          <w:trHeight w:val="300"/>
        </w:trPr>
        <w:tc>
          <w:tcPr>
            <w:tcW w:w="5387" w:type="dxa"/>
            <w:tcBorders>
              <w:top w:val="nil"/>
              <w:left w:val="nil"/>
              <w:bottom w:val="nil"/>
              <w:right w:val="nil"/>
            </w:tcBorders>
            <w:shd w:val="clear" w:color="auto" w:fill="auto"/>
            <w:noWrap/>
            <w:vAlign w:val="bottom"/>
            <w:hideMark/>
          </w:tcPr>
          <w:p w14:paraId="29E5BCC8" w14:textId="77777777" w:rsidR="00007FF2" w:rsidRDefault="00007FF2">
            <w:pPr>
              <w:rPr>
                <w:rFonts w:ascii="Arial" w:hAnsi="Arial" w:cs="Arial"/>
                <w:sz w:val="20"/>
                <w:szCs w:val="20"/>
              </w:rPr>
            </w:pPr>
            <w:r>
              <w:rPr>
                <w:rFonts w:ascii="Arial" w:hAnsi="Arial" w:cs="Arial"/>
                <w:sz w:val="20"/>
                <w:szCs w:val="20"/>
              </w:rPr>
              <w:t xml:space="preserve"> Consorzio Unicocampania </w:t>
            </w:r>
          </w:p>
        </w:tc>
        <w:tc>
          <w:tcPr>
            <w:tcW w:w="146" w:type="dxa"/>
            <w:tcBorders>
              <w:top w:val="nil"/>
              <w:left w:val="nil"/>
              <w:bottom w:val="nil"/>
              <w:right w:val="nil"/>
            </w:tcBorders>
            <w:shd w:val="clear" w:color="auto" w:fill="auto"/>
            <w:vAlign w:val="center"/>
            <w:hideMark/>
          </w:tcPr>
          <w:p w14:paraId="6D88010C" w14:textId="77777777" w:rsidR="00007FF2" w:rsidRDefault="00007FF2">
            <w:pPr>
              <w:rPr>
                <w:rFonts w:ascii="Arial" w:hAnsi="Arial" w:cs="Arial"/>
                <w:sz w:val="20"/>
                <w:szCs w:val="20"/>
              </w:rPr>
            </w:pPr>
          </w:p>
        </w:tc>
        <w:tc>
          <w:tcPr>
            <w:tcW w:w="1271" w:type="dxa"/>
            <w:tcBorders>
              <w:top w:val="nil"/>
              <w:left w:val="nil"/>
              <w:bottom w:val="nil"/>
              <w:right w:val="nil"/>
            </w:tcBorders>
            <w:shd w:val="clear" w:color="auto" w:fill="auto"/>
            <w:vAlign w:val="center"/>
            <w:hideMark/>
          </w:tcPr>
          <w:p w14:paraId="159D12A3" w14:textId="77777777" w:rsidR="00007FF2" w:rsidRDefault="00007FF2">
            <w:pPr>
              <w:jc w:val="center"/>
              <w:rPr>
                <w:rFonts w:ascii="Arial" w:hAnsi="Arial" w:cs="Arial"/>
                <w:sz w:val="16"/>
                <w:szCs w:val="16"/>
              </w:rPr>
            </w:pPr>
            <w:r>
              <w:rPr>
                <w:rFonts w:ascii="Arial" w:hAnsi="Arial" w:cs="Arial"/>
                <w:sz w:val="16"/>
                <w:szCs w:val="16"/>
              </w:rPr>
              <w:t>10.842</w:t>
            </w:r>
          </w:p>
        </w:tc>
        <w:tc>
          <w:tcPr>
            <w:tcW w:w="1701" w:type="dxa"/>
            <w:tcBorders>
              <w:top w:val="nil"/>
              <w:left w:val="nil"/>
              <w:bottom w:val="nil"/>
              <w:right w:val="nil"/>
            </w:tcBorders>
            <w:shd w:val="clear" w:color="auto" w:fill="auto"/>
            <w:vAlign w:val="center"/>
            <w:hideMark/>
          </w:tcPr>
          <w:p w14:paraId="45E0B2A2" w14:textId="77777777" w:rsidR="00007FF2" w:rsidRDefault="00007FF2">
            <w:pPr>
              <w:jc w:val="center"/>
              <w:rPr>
                <w:rFonts w:ascii="Arial" w:hAnsi="Arial" w:cs="Arial"/>
                <w:sz w:val="16"/>
                <w:szCs w:val="16"/>
              </w:rPr>
            </w:pPr>
            <w:r>
              <w:rPr>
                <w:rFonts w:ascii="Arial" w:hAnsi="Arial" w:cs="Arial"/>
                <w:sz w:val="16"/>
                <w:szCs w:val="16"/>
              </w:rPr>
              <w:t>12.605</w:t>
            </w:r>
          </w:p>
        </w:tc>
      </w:tr>
      <w:tr w:rsidR="00007FF2" w14:paraId="3A0013E7" w14:textId="77777777" w:rsidTr="00007FF2">
        <w:trPr>
          <w:trHeight w:val="300"/>
        </w:trPr>
        <w:tc>
          <w:tcPr>
            <w:tcW w:w="5387" w:type="dxa"/>
            <w:tcBorders>
              <w:top w:val="nil"/>
              <w:left w:val="nil"/>
              <w:bottom w:val="nil"/>
              <w:right w:val="nil"/>
            </w:tcBorders>
            <w:shd w:val="clear" w:color="auto" w:fill="auto"/>
            <w:noWrap/>
            <w:vAlign w:val="bottom"/>
            <w:hideMark/>
          </w:tcPr>
          <w:p w14:paraId="09761743" w14:textId="77777777" w:rsidR="00007FF2" w:rsidRDefault="00007FF2">
            <w:pPr>
              <w:rPr>
                <w:rFonts w:ascii="Arial" w:hAnsi="Arial" w:cs="Arial"/>
                <w:sz w:val="20"/>
                <w:szCs w:val="20"/>
              </w:rPr>
            </w:pPr>
            <w:r>
              <w:rPr>
                <w:rFonts w:ascii="Arial" w:hAnsi="Arial" w:cs="Arial"/>
                <w:sz w:val="20"/>
                <w:szCs w:val="20"/>
              </w:rPr>
              <w:t xml:space="preserve"> Consorzio per fatt da emettere </w:t>
            </w:r>
          </w:p>
        </w:tc>
        <w:tc>
          <w:tcPr>
            <w:tcW w:w="146" w:type="dxa"/>
            <w:tcBorders>
              <w:top w:val="nil"/>
              <w:left w:val="nil"/>
              <w:bottom w:val="nil"/>
              <w:right w:val="nil"/>
            </w:tcBorders>
            <w:shd w:val="clear" w:color="auto" w:fill="auto"/>
            <w:vAlign w:val="center"/>
            <w:hideMark/>
          </w:tcPr>
          <w:p w14:paraId="12670E8E" w14:textId="77777777" w:rsidR="00007FF2" w:rsidRDefault="00007FF2">
            <w:pPr>
              <w:rPr>
                <w:rFonts w:ascii="Arial" w:hAnsi="Arial" w:cs="Arial"/>
                <w:sz w:val="20"/>
                <w:szCs w:val="20"/>
              </w:rPr>
            </w:pPr>
          </w:p>
        </w:tc>
        <w:tc>
          <w:tcPr>
            <w:tcW w:w="1271" w:type="dxa"/>
            <w:tcBorders>
              <w:top w:val="nil"/>
              <w:left w:val="nil"/>
              <w:bottom w:val="nil"/>
              <w:right w:val="nil"/>
            </w:tcBorders>
            <w:shd w:val="clear" w:color="auto" w:fill="auto"/>
            <w:vAlign w:val="center"/>
            <w:hideMark/>
          </w:tcPr>
          <w:p w14:paraId="16A60D51" w14:textId="77777777" w:rsidR="00007FF2" w:rsidRDefault="00007FF2">
            <w:pPr>
              <w:jc w:val="center"/>
              <w:rPr>
                <w:rFonts w:ascii="Arial" w:hAnsi="Arial" w:cs="Arial"/>
                <w:sz w:val="16"/>
                <w:szCs w:val="16"/>
              </w:rPr>
            </w:pPr>
            <w:r>
              <w:rPr>
                <w:rFonts w:ascii="Arial" w:hAnsi="Arial" w:cs="Arial"/>
                <w:sz w:val="16"/>
                <w:szCs w:val="16"/>
              </w:rPr>
              <w:t>4.751</w:t>
            </w:r>
          </w:p>
        </w:tc>
        <w:tc>
          <w:tcPr>
            <w:tcW w:w="1701" w:type="dxa"/>
            <w:tcBorders>
              <w:top w:val="nil"/>
              <w:left w:val="nil"/>
              <w:bottom w:val="nil"/>
              <w:right w:val="nil"/>
            </w:tcBorders>
            <w:shd w:val="clear" w:color="auto" w:fill="auto"/>
            <w:vAlign w:val="center"/>
            <w:hideMark/>
          </w:tcPr>
          <w:p w14:paraId="7B59AAF3" w14:textId="77777777" w:rsidR="00007FF2" w:rsidRDefault="00007FF2">
            <w:pPr>
              <w:jc w:val="center"/>
              <w:rPr>
                <w:rFonts w:ascii="Arial" w:hAnsi="Arial" w:cs="Arial"/>
                <w:sz w:val="16"/>
                <w:szCs w:val="16"/>
              </w:rPr>
            </w:pPr>
            <w:r>
              <w:rPr>
                <w:rFonts w:ascii="Arial" w:hAnsi="Arial" w:cs="Arial"/>
                <w:sz w:val="16"/>
                <w:szCs w:val="16"/>
              </w:rPr>
              <w:t>4.471</w:t>
            </w:r>
          </w:p>
        </w:tc>
      </w:tr>
      <w:tr w:rsidR="00007FF2" w14:paraId="6A6494EE" w14:textId="77777777" w:rsidTr="00007FF2">
        <w:trPr>
          <w:trHeight w:val="300"/>
        </w:trPr>
        <w:tc>
          <w:tcPr>
            <w:tcW w:w="5387" w:type="dxa"/>
            <w:tcBorders>
              <w:top w:val="nil"/>
              <w:left w:val="nil"/>
              <w:bottom w:val="nil"/>
              <w:right w:val="nil"/>
            </w:tcBorders>
            <w:shd w:val="clear" w:color="auto" w:fill="auto"/>
            <w:noWrap/>
            <w:vAlign w:val="bottom"/>
            <w:hideMark/>
          </w:tcPr>
          <w:p w14:paraId="300866DA" w14:textId="77777777" w:rsidR="00007FF2" w:rsidRDefault="00007FF2">
            <w:pPr>
              <w:rPr>
                <w:rFonts w:ascii="Arial" w:hAnsi="Arial" w:cs="Arial"/>
                <w:sz w:val="20"/>
                <w:szCs w:val="20"/>
              </w:rPr>
            </w:pPr>
            <w:r>
              <w:rPr>
                <w:rFonts w:ascii="Arial" w:hAnsi="Arial" w:cs="Arial"/>
                <w:sz w:val="20"/>
                <w:szCs w:val="20"/>
              </w:rPr>
              <w:t>Pignoramenti ricevuti da definire</w:t>
            </w:r>
          </w:p>
        </w:tc>
        <w:tc>
          <w:tcPr>
            <w:tcW w:w="146" w:type="dxa"/>
            <w:tcBorders>
              <w:top w:val="nil"/>
              <w:left w:val="nil"/>
              <w:bottom w:val="nil"/>
              <w:right w:val="nil"/>
            </w:tcBorders>
            <w:shd w:val="clear" w:color="auto" w:fill="auto"/>
            <w:vAlign w:val="center"/>
            <w:hideMark/>
          </w:tcPr>
          <w:p w14:paraId="4D5E7C2E" w14:textId="77777777" w:rsidR="00007FF2" w:rsidRDefault="00007FF2">
            <w:pPr>
              <w:rPr>
                <w:rFonts w:ascii="Arial" w:hAnsi="Arial" w:cs="Arial"/>
                <w:sz w:val="20"/>
                <w:szCs w:val="20"/>
              </w:rPr>
            </w:pPr>
          </w:p>
        </w:tc>
        <w:tc>
          <w:tcPr>
            <w:tcW w:w="1271" w:type="dxa"/>
            <w:tcBorders>
              <w:top w:val="nil"/>
              <w:left w:val="nil"/>
              <w:bottom w:val="nil"/>
              <w:right w:val="nil"/>
            </w:tcBorders>
            <w:shd w:val="clear" w:color="auto" w:fill="auto"/>
            <w:vAlign w:val="center"/>
            <w:hideMark/>
          </w:tcPr>
          <w:p w14:paraId="3CCED963" w14:textId="77777777" w:rsidR="00007FF2" w:rsidRDefault="00007FF2">
            <w:pPr>
              <w:jc w:val="center"/>
              <w:rPr>
                <w:rFonts w:ascii="Arial" w:hAnsi="Arial" w:cs="Arial"/>
                <w:sz w:val="16"/>
                <w:szCs w:val="16"/>
              </w:rPr>
            </w:pPr>
            <w:r>
              <w:rPr>
                <w:rFonts w:ascii="Arial" w:hAnsi="Arial" w:cs="Arial"/>
                <w:sz w:val="16"/>
                <w:szCs w:val="16"/>
              </w:rPr>
              <w:t>150</w:t>
            </w:r>
          </w:p>
        </w:tc>
        <w:tc>
          <w:tcPr>
            <w:tcW w:w="1701" w:type="dxa"/>
            <w:tcBorders>
              <w:top w:val="nil"/>
              <w:left w:val="nil"/>
              <w:bottom w:val="nil"/>
              <w:right w:val="nil"/>
            </w:tcBorders>
            <w:shd w:val="clear" w:color="auto" w:fill="auto"/>
            <w:vAlign w:val="center"/>
            <w:hideMark/>
          </w:tcPr>
          <w:p w14:paraId="66767B49" w14:textId="77777777" w:rsidR="00007FF2" w:rsidRDefault="00007FF2">
            <w:pPr>
              <w:jc w:val="center"/>
              <w:rPr>
                <w:rFonts w:ascii="Arial" w:hAnsi="Arial" w:cs="Arial"/>
                <w:sz w:val="16"/>
                <w:szCs w:val="16"/>
              </w:rPr>
            </w:pPr>
            <w:r>
              <w:rPr>
                <w:rFonts w:ascii="Arial" w:hAnsi="Arial" w:cs="Arial"/>
                <w:sz w:val="16"/>
                <w:szCs w:val="16"/>
              </w:rPr>
              <w:t>147</w:t>
            </w:r>
          </w:p>
        </w:tc>
      </w:tr>
      <w:tr w:rsidR="00007FF2" w14:paraId="11080CD3" w14:textId="77777777" w:rsidTr="00007FF2">
        <w:trPr>
          <w:trHeight w:val="255"/>
        </w:trPr>
        <w:tc>
          <w:tcPr>
            <w:tcW w:w="5387" w:type="dxa"/>
            <w:tcBorders>
              <w:top w:val="nil"/>
              <w:left w:val="nil"/>
              <w:bottom w:val="nil"/>
              <w:right w:val="nil"/>
            </w:tcBorders>
            <w:shd w:val="clear" w:color="auto" w:fill="auto"/>
            <w:noWrap/>
            <w:vAlign w:val="bottom"/>
            <w:hideMark/>
          </w:tcPr>
          <w:p w14:paraId="2FB26081" w14:textId="77777777" w:rsidR="00007FF2" w:rsidRDefault="00007FF2">
            <w:pPr>
              <w:jc w:val="center"/>
              <w:rPr>
                <w:rFonts w:ascii="Arial" w:hAnsi="Arial" w:cs="Arial"/>
                <w:sz w:val="16"/>
                <w:szCs w:val="16"/>
              </w:rPr>
            </w:pPr>
          </w:p>
        </w:tc>
        <w:tc>
          <w:tcPr>
            <w:tcW w:w="146" w:type="dxa"/>
            <w:tcBorders>
              <w:top w:val="nil"/>
              <w:left w:val="nil"/>
              <w:bottom w:val="nil"/>
              <w:right w:val="nil"/>
            </w:tcBorders>
            <w:shd w:val="clear" w:color="auto" w:fill="auto"/>
            <w:vAlign w:val="center"/>
            <w:hideMark/>
          </w:tcPr>
          <w:p w14:paraId="692CF9DF" w14:textId="77777777" w:rsidR="00007FF2" w:rsidRDefault="00007FF2">
            <w:pPr>
              <w:rPr>
                <w:sz w:val="20"/>
                <w:szCs w:val="20"/>
              </w:rPr>
            </w:pPr>
          </w:p>
        </w:tc>
        <w:tc>
          <w:tcPr>
            <w:tcW w:w="1271" w:type="dxa"/>
            <w:tcBorders>
              <w:top w:val="nil"/>
              <w:left w:val="nil"/>
              <w:bottom w:val="nil"/>
              <w:right w:val="nil"/>
            </w:tcBorders>
            <w:shd w:val="clear" w:color="auto" w:fill="auto"/>
            <w:vAlign w:val="center"/>
            <w:hideMark/>
          </w:tcPr>
          <w:p w14:paraId="7D7AC503" w14:textId="77777777" w:rsidR="00007FF2" w:rsidRDefault="00007FF2">
            <w:pPr>
              <w:jc w:val="center"/>
              <w:rPr>
                <w:sz w:val="20"/>
                <w:szCs w:val="20"/>
              </w:rPr>
            </w:pPr>
          </w:p>
        </w:tc>
        <w:tc>
          <w:tcPr>
            <w:tcW w:w="1701" w:type="dxa"/>
            <w:tcBorders>
              <w:top w:val="nil"/>
              <w:left w:val="nil"/>
              <w:bottom w:val="nil"/>
              <w:right w:val="nil"/>
            </w:tcBorders>
            <w:shd w:val="clear" w:color="auto" w:fill="auto"/>
            <w:vAlign w:val="center"/>
            <w:hideMark/>
          </w:tcPr>
          <w:p w14:paraId="69E4FE98" w14:textId="77777777" w:rsidR="00007FF2" w:rsidRDefault="00007FF2">
            <w:pPr>
              <w:jc w:val="center"/>
              <w:rPr>
                <w:sz w:val="20"/>
                <w:szCs w:val="20"/>
              </w:rPr>
            </w:pPr>
          </w:p>
        </w:tc>
      </w:tr>
      <w:tr w:rsidR="00007FF2" w14:paraId="422804A1" w14:textId="77777777" w:rsidTr="00007FF2">
        <w:trPr>
          <w:trHeight w:val="255"/>
        </w:trPr>
        <w:tc>
          <w:tcPr>
            <w:tcW w:w="5387" w:type="dxa"/>
            <w:tcBorders>
              <w:top w:val="nil"/>
              <w:left w:val="nil"/>
              <w:bottom w:val="nil"/>
              <w:right w:val="nil"/>
            </w:tcBorders>
            <w:shd w:val="clear" w:color="auto" w:fill="auto"/>
            <w:noWrap/>
            <w:vAlign w:val="bottom"/>
            <w:hideMark/>
          </w:tcPr>
          <w:p w14:paraId="7CE0BAF0" w14:textId="77777777" w:rsidR="00007FF2" w:rsidRDefault="00007FF2">
            <w:pPr>
              <w:rPr>
                <w:rFonts w:ascii="Arial" w:hAnsi="Arial" w:cs="Arial"/>
                <w:sz w:val="20"/>
                <w:szCs w:val="20"/>
              </w:rPr>
            </w:pPr>
            <w:r>
              <w:rPr>
                <w:rFonts w:ascii="Arial" w:hAnsi="Arial" w:cs="Arial"/>
                <w:sz w:val="20"/>
                <w:szCs w:val="20"/>
              </w:rPr>
              <w:t xml:space="preserve">Consorzio Unicocampania - </w:t>
            </w:r>
            <w:r>
              <w:rPr>
                <w:rFonts w:ascii="Arial" w:hAnsi="Arial" w:cs="Arial"/>
                <w:i/>
                <w:iCs/>
                <w:sz w:val="16"/>
                <w:szCs w:val="16"/>
              </w:rPr>
              <w:t>per note credito da emettere</w:t>
            </w:r>
          </w:p>
        </w:tc>
        <w:tc>
          <w:tcPr>
            <w:tcW w:w="146" w:type="dxa"/>
            <w:tcBorders>
              <w:top w:val="nil"/>
              <w:left w:val="nil"/>
              <w:bottom w:val="nil"/>
              <w:right w:val="nil"/>
            </w:tcBorders>
            <w:shd w:val="clear" w:color="auto" w:fill="auto"/>
            <w:vAlign w:val="center"/>
            <w:hideMark/>
          </w:tcPr>
          <w:p w14:paraId="5470838B" w14:textId="77777777" w:rsidR="00007FF2" w:rsidRDefault="00007FF2">
            <w:pPr>
              <w:rPr>
                <w:rFonts w:ascii="Arial" w:hAnsi="Arial" w:cs="Arial"/>
                <w:sz w:val="20"/>
                <w:szCs w:val="20"/>
              </w:rPr>
            </w:pPr>
          </w:p>
        </w:tc>
        <w:tc>
          <w:tcPr>
            <w:tcW w:w="1271" w:type="dxa"/>
            <w:tcBorders>
              <w:top w:val="nil"/>
              <w:left w:val="nil"/>
              <w:bottom w:val="nil"/>
              <w:right w:val="nil"/>
            </w:tcBorders>
            <w:shd w:val="clear" w:color="auto" w:fill="auto"/>
            <w:vAlign w:val="center"/>
            <w:hideMark/>
          </w:tcPr>
          <w:p w14:paraId="7B735D29" w14:textId="77777777" w:rsidR="00007FF2" w:rsidRDefault="00007FF2">
            <w:pPr>
              <w:jc w:val="center"/>
              <w:rPr>
                <w:sz w:val="20"/>
                <w:szCs w:val="20"/>
              </w:rPr>
            </w:pPr>
          </w:p>
        </w:tc>
        <w:tc>
          <w:tcPr>
            <w:tcW w:w="1701" w:type="dxa"/>
            <w:tcBorders>
              <w:top w:val="nil"/>
              <w:left w:val="nil"/>
              <w:bottom w:val="nil"/>
              <w:right w:val="nil"/>
            </w:tcBorders>
            <w:shd w:val="clear" w:color="auto" w:fill="auto"/>
            <w:vAlign w:val="center"/>
            <w:hideMark/>
          </w:tcPr>
          <w:p w14:paraId="13C9DCCB" w14:textId="77777777" w:rsidR="00007FF2" w:rsidRDefault="00007FF2">
            <w:pPr>
              <w:jc w:val="center"/>
              <w:rPr>
                <w:rFonts w:ascii="Arial" w:hAnsi="Arial" w:cs="Arial"/>
                <w:sz w:val="16"/>
                <w:szCs w:val="16"/>
              </w:rPr>
            </w:pPr>
            <w:r>
              <w:rPr>
                <w:rFonts w:ascii="Arial" w:hAnsi="Arial" w:cs="Arial"/>
                <w:sz w:val="16"/>
                <w:szCs w:val="16"/>
              </w:rPr>
              <w:t>-1025</w:t>
            </w:r>
          </w:p>
        </w:tc>
      </w:tr>
      <w:tr w:rsidR="00007FF2" w14:paraId="3B433502" w14:textId="77777777" w:rsidTr="00007FF2">
        <w:trPr>
          <w:trHeight w:val="405"/>
        </w:trPr>
        <w:tc>
          <w:tcPr>
            <w:tcW w:w="5387" w:type="dxa"/>
            <w:tcBorders>
              <w:top w:val="nil"/>
              <w:left w:val="nil"/>
              <w:bottom w:val="double" w:sz="6" w:space="0" w:color="auto"/>
              <w:right w:val="nil"/>
            </w:tcBorders>
            <w:shd w:val="clear" w:color="auto" w:fill="auto"/>
            <w:noWrap/>
            <w:vAlign w:val="bottom"/>
            <w:hideMark/>
          </w:tcPr>
          <w:p w14:paraId="144666C3" w14:textId="77777777" w:rsidR="00007FF2" w:rsidRDefault="00007FF2">
            <w:pPr>
              <w:rPr>
                <w:rFonts w:ascii="Arial" w:hAnsi="Arial" w:cs="Arial"/>
                <w:sz w:val="20"/>
                <w:szCs w:val="20"/>
              </w:rPr>
            </w:pPr>
            <w:r>
              <w:rPr>
                <w:rFonts w:ascii="Arial" w:hAnsi="Arial" w:cs="Arial"/>
                <w:sz w:val="20"/>
                <w:szCs w:val="20"/>
              </w:rPr>
              <w:t xml:space="preserve"> -f.do svalutazione credito </w:t>
            </w:r>
          </w:p>
        </w:tc>
        <w:tc>
          <w:tcPr>
            <w:tcW w:w="146" w:type="dxa"/>
            <w:tcBorders>
              <w:top w:val="nil"/>
              <w:left w:val="nil"/>
              <w:bottom w:val="nil"/>
              <w:right w:val="nil"/>
            </w:tcBorders>
            <w:shd w:val="clear" w:color="auto" w:fill="auto"/>
            <w:vAlign w:val="center"/>
            <w:hideMark/>
          </w:tcPr>
          <w:p w14:paraId="6BE10B3F" w14:textId="77777777" w:rsidR="00007FF2" w:rsidRDefault="00007FF2">
            <w:pPr>
              <w:rPr>
                <w:rFonts w:ascii="Arial" w:hAnsi="Arial" w:cs="Arial"/>
                <w:sz w:val="20"/>
                <w:szCs w:val="20"/>
              </w:rPr>
            </w:pPr>
          </w:p>
        </w:tc>
        <w:tc>
          <w:tcPr>
            <w:tcW w:w="1271" w:type="dxa"/>
            <w:tcBorders>
              <w:top w:val="nil"/>
              <w:left w:val="nil"/>
              <w:bottom w:val="double" w:sz="6" w:space="0" w:color="auto"/>
              <w:right w:val="nil"/>
            </w:tcBorders>
            <w:shd w:val="clear" w:color="auto" w:fill="auto"/>
            <w:vAlign w:val="center"/>
            <w:hideMark/>
          </w:tcPr>
          <w:p w14:paraId="337969DF" w14:textId="77777777" w:rsidR="00007FF2" w:rsidRDefault="00007FF2">
            <w:pPr>
              <w:jc w:val="center"/>
              <w:rPr>
                <w:rFonts w:ascii="Arial" w:hAnsi="Arial" w:cs="Arial"/>
                <w:sz w:val="16"/>
                <w:szCs w:val="16"/>
              </w:rPr>
            </w:pPr>
            <w:r>
              <w:rPr>
                <w:rFonts w:ascii="Arial" w:hAnsi="Arial" w:cs="Arial"/>
                <w:sz w:val="16"/>
                <w:szCs w:val="16"/>
              </w:rPr>
              <w:t>-6.798</w:t>
            </w:r>
          </w:p>
        </w:tc>
        <w:tc>
          <w:tcPr>
            <w:tcW w:w="1701" w:type="dxa"/>
            <w:tcBorders>
              <w:top w:val="nil"/>
              <w:left w:val="nil"/>
              <w:bottom w:val="double" w:sz="6" w:space="0" w:color="auto"/>
              <w:right w:val="nil"/>
            </w:tcBorders>
            <w:shd w:val="clear" w:color="auto" w:fill="auto"/>
            <w:vAlign w:val="center"/>
            <w:hideMark/>
          </w:tcPr>
          <w:p w14:paraId="53DF5EC3" w14:textId="77777777" w:rsidR="00007FF2" w:rsidRDefault="00007FF2">
            <w:pPr>
              <w:jc w:val="center"/>
              <w:rPr>
                <w:rFonts w:ascii="Arial" w:hAnsi="Arial" w:cs="Arial"/>
                <w:sz w:val="16"/>
                <w:szCs w:val="16"/>
              </w:rPr>
            </w:pPr>
            <w:r>
              <w:rPr>
                <w:rFonts w:ascii="Arial" w:hAnsi="Arial" w:cs="Arial"/>
                <w:sz w:val="16"/>
                <w:szCs w:val="16"/>
              </w:rPr>
              <w:t>-6.798</w:t>
            </w:r>
          </w:p>
        </w:tc>
      </w:tr>
    </w:tbl>
    <w:p w14:paraId="1C556339" w14:textId="77777777" w:rsidR="00A45067" w:rsidRDefault="00A45067" w:rsidP="00007FF2">
      <w:pPr>
        <w:widowControl w:val="0"/>
        <w:spacing w:before="120" w:after="120"/>
        <w:jc w:val="both"/>
        <w:rPr>
          <w:rFonts w:ascii="Arial" w:hAnsi="Arial" w:cs="Arial"/>
          <w:snapToGrid w:val="0"/>
          <w:sz w:val="20"/>
        </w:rPr>
      </w:pPr>
    </w:p>
    <w:p w14:paraId="12CC3EDA" w14:textId="77777777" w:rsidR="00FA68F4" w:rsidRDefault="00CD4C12" w:rsidP="00395BFA">
      <w:pPr>
        <w:widowControl w:val="0"/>
        <w:tabs>
          <w:tab w:val="left" w:pos="1620"/>
          <w:tab w:val="num" w:pos="1980"/>
        </w:tabs>
        <w:jc w:val="both"/>
        <w:rPr>
          <w:rFonts w:ascii="Arial" w:hAnsi="Arial" w:cs="Arial"/>
          <w:snapToGrid w:val="0"/>
          <w:sz w:val="20"/>
        </w:rPr>
      </w:pPr>
      <w:r w:rsidRPr="00CE6109">
        <w:rPr>
          <w:rFonts w:ascii="Arial" w:hAnsi="Arial" w:cs="Arial"/>
          <w:b/>
          <w:snapToGrid w:val="0"/>
          <w:sz w:val="20"/>
        </w:rPr>
        <w:t>Il credito verso Consorzio</w:t>
      </w:r>
      <w:r w:rsidRPr="00CD4C12">
        <w:rPr>
          <w:rFonts w:ascii="Arial" w:hAnsi="Arial" w:cs="Arial"/>
          <w:snapToGrid w:val="0"/>
          <w:sz w:val="20"/>
        </w:rPr>
        <w:t xml:space="preserve"> è composto principalmente </w:t>
      </w:r>
      <w:r w:rsidR="00A31744">
        <w:rPr>
          <w:rFonts w:ascii="Arial" w:hAnsi="Arial" w:cs="Arial"/>
          <w:snapToGrid w:val="0"/>
          <w:sz w:val="20"/>
        </w:rPr>
        <w:t>da:</w:t>
      </w:r>
    </w:p>
    <w:p w14:paraId="4093ED10" w14:textId="77777777" w:rsidR="00A31744" w:rsidRDefault="00A31744" w:rsidP="00395BFA">
      <w:pPr>
        <w:widowControl w:val="0"/>
        <w:tabs>
          <w:tab w:val="left" w:pos="1620"/>
          <w:tab w:val="num" w:pos="1980"/>
        </w:tabs>
        <w:jc w:val="both"/>
        <w:rPr>
          <w:rFonts w:ascii="Arial" w:hAnsi="Arial" w:cs="Arial"/>
          <w:snapToGrid w:val="0"/>
          <w:sz w:val="20"/>
        </w:rPr>
      </w:pPr>
      <w:r>
        <w:rPr>
          <w:rFonts w:ascii="Arial" w:hAnsi="Arial" w:cs="Arial"/>
          <w:snapToGrid w:val="0"/>
          <w:sz w:val="20"/>
        </w:rPr>
        <w:t xml:space="preserve"> </w:t>
      </w:r>
    </w:p>
    <w:p w14:paraId="05FA5DAD" w14:textId="77777777" w:rsidR="00570A84" w:rsidRPr="00570A84" w:rsidRDefault="00570A84" w:rsidP="0049512E">
      <w:pPr>
        <w:widowControl w:val="0"/>
        <w:numPr>
          <w:ilvl w:val="0"/>
          <w:numId w:val="26"/>
        </w:numPr>
        <w:jc w:val="both"/>
        <w:rPr>
          <w:rFonts w:ascii="Arial" w:hAnsi="Arial" w:cs="Arial"/>
          <w:snapToGrid w:val="0"/>
          <w:sz w:val="20"/>
        </w:rPr>
      </w:pPr>
      <w:r w:rsidRPr="00570A84">
        <w:rPr>
          <w:rFonts w:ascii="Arial" w:hAnsi="Arial" w:cs="Arial"/>
          <w:snapToGrid w:val="0"/>
          <w:sz w:val="20"/>
        </w:rPr>
        <w:t>Interazione regionale 2002/2003 per 6.213 €/000;</w:t>
      </w:r>
    </w:p>
    <w:p w14:paraId="70E867AC" w14:textId="77777777" w:rsidR="00570A84" w:rsidRPr="00570A84" w:rsidRDefault="00570A84" w:rsidP="0049512E">
      <w:pPr>
        <w:widowControl w:val="0"/>
        <w:numPr>
          <w:ilvl w:val="0"/>
          <w:numId w:val="26"/>
        </w:numPr>
        <w:jc w:val="both"/>
        <w:rPr>
          <w:rFonts w:ascii="Arial" w:hAnsi="Arial" w:cs="Arial"/>
          <w:snapToGrid w:val="0"/>
          <w:sz w:val="20"/>
        </w:rPr>
      </w:pPr>
      <w:r w:rsidRPr="00570A84">
        <w:rPr>
          <w:rFonts w:ascii="Arial" w:hAnsi="Arial" w:cs="Arial"/>
          <w:snapToGrid w:val="0"/>
          <w:sz w:val="20"/>
        </w:rPr>
        <w:t>Residuo contributo regione anno 2014 per 585 €/000;</w:t>
      </w:r>
    </w:p>
    <w:p w14:paraId="1EDE29AC" w14:textId="77777777" w:rsidR="00CD4C12" w:rsidRPr="00CD4C12" w:rsidRDefault="00CD4C12" w:rsidP="00570A84">
      <w:pPr>
        <w:widowControl w:val="0"/>
        <w:tabs>
          <w:tab w:val="left" w:pos="1620"/>
          <w:tab w:val="num" w:pos="1980"/>
        </w:tabs>
        <w:spacing w:before="120" w:after="120"/>
        <w:jc w:val="both"/>
        <w:rPr>
          <w:rFonts w:ascii="Arial" w:hAnsi="Arial" w:cs="Arial"/>
          <w:snapToGrid w:val="0"/>
          <w:sz w:val="20"/>
        </w:rPr>
      </w:pPr>
      <w:r w:rsidRPr="00CD4C12">
        <w:rPr>
          <w:rFonts w:ascii="Arial" w:hAnsi="Arial" w:cs="Arial"/>
          <w:snapToGrid w:val="0"/>
          <w:sz w:val="20"/>
        </w:rPr>
        <w:t>Entrambe le posizioni sono integralmente svalutat</w:t>
      </w:r>
      <w:r w:rsidR="00A31744">
        <w:rPr>
          <w:rFonts w:ascii="Arial" w:hAnsi="Arial" w:cs="Arial"/>
          <w:snapToGrid w:val="0"/>
          <w:sz w:val="20"/>
        </w:rPr>
        <w:t>e;</w:t>
      </w:r>
    </w:p>
    <w:p w14:paraId="4BF16C72" w14:textId="77777777" w:rsidR="00570A84" w:rsidRPr="00570A84" w:rsidRDefault="00570A84" w:rsidP="0049512E">
      <w:pPr>
        <w:widowControl w:val="0"/>
        <w:numPr>
          <w:ilvl w:val="0"/>
          <w:numId w:val="32"/>
        </w:numPr>
        <w:tabs>
          <w:tab w:val="left" w:pos="1620"/>
          <w:tab w:val="num" w:pos="1980"/>
        </w:tabs>
        <w:jc w:val="both"/>
        <w:rPr>
          <w:rFonts w:ascii="Arial" w:hAnsi="Arial" w:cs="Arial"/>
          <w:snapToGrid w:val="0"/>
          <w:sz w:val="20"/>
        </w:rPr>
      </w:pPr>
      <w:r w:rsidRPr="00570A84">
        <w:rPr>
          <w:rFonts w:ascii="Arial" w:hAnsi="Arial" w:cs="Arial"/>
          <w:snapToGrid w:val="0"/>
          <w:sz w:val="20"/>
        </w:rPr>
        <w:t>residuo titoli aziendali 2017 per 155 €/000</w:t>
      </w:r>
    </w:p>
    <w:p w14:paraId="07DA3DC4" w14:textId="77777777" w:rsidR="00570A84" w:rsidRPr="00570A84" w:rsidRDefault="00570A84" w:rsidP="0049512E">
      <w:pPr>
        <w:widowControl w:val="0"/>
        <w:numPr>
          <w:ilvl w:val="0"/>
          <w:numId w:val="32"/>
        </w:numPr>
        <w:tabs>
          <w:tab w:val="left" w:pos="1620"/>
          <w:tab w:val="num" w:pos="1980"/>
        </w:tabs>
        <w:jc w:val="both"/>
        <w:rPr>
          <w:rFonts w:ascii="Arial" w:hAnsi="Arial" w:cs="Arial"/>
          <w:snapToGrid w:val="0"/>
          <w:sz w:val="20"/>
        </w:rPr>
      </w:pPr>
      <w:r w:rsidRPr="00570A84">
        <w:rPr>
          <w:rFonts w:ascii="Arial" w:hAnsi="Arial" w:cs="Arial"/>
          <w:snapToGrid w:val="0"/>
          <w:sz w:val="20"/>
        </w:rPr>
        <w:t>residuo titoli aziendali 2019 per 2.471 €/000</w:t>
      </w:r>
    </w:p>
    <w:p w14:paraId="5A802E57" w14:textId="77777777" w:rsidR="00570A84" w:rsidRPr="00570A84" w:rsidRDefault="00570A84" w:rsidP="0049512E">
      <w:pPr>
        <w:widowControl w:val="0"/>
        <w:numPr>
          <w:ilvl w:val="0"/>
          <w:numId w:val="32"/>
        </w:numPr>
        <w:tabs>
          <w:tab w:val="left" w:pos="1620"/>
          <w:tab w:val="num" w:pos="1980"/>
        </w:tabs>
        <w:jc w:val="both"/>
        <w:rPr>
          <w:rFonts w:ascii="Arial" w:hAnsi="Arial" w:cs="Arial"/>
          <w:snapToGrid w:val="0"/>
          <w:sz w:val="20"/>
        </w:rPr>
      </w:pPr>
      <w:r w:rsidRPr="00570A84">
        <w:rPr>
          <w:rFonts w:ascii="Arial" w:hAnsi="Arial" w:cs="Arial"/>
          <w:snapToGrid w:val="0"/>
          <w:sz w:val="20"/>
        </w:rPr>
        <w:t>residuo categorie protette per circa 27 €/000;</w:t>
      </w:r>
    </w:p>
    <w:p w14:paraId="027EAAE8" w14:textId="77777777" w:rsidR="00570A84" w:rsidRPr="00570A84" w:rsidRDefault="00570A84" w:rsidP="0049512E">
      <w:pPr>
        <w:widowControl w:val="0"/>
        <w:numPr>
          <w:ilvl w:val="0"/>
          <w:numId w:val="32"/>
        </w:numPr>
        <w:tabs>
          <w:tab w:val="left" w:pos="1620"/>
          <w:tab w:val="num" w:pos="1980"/>
        </w:tabs>
        <w:jc w:val="both"/>
        <w:rPr>
          <w:rFonts w:ascii="Arial" w:hAnsi="Arial" w:cs="Arial"/>
          <w:snapToGrid w:val="0"/>
          <w:sz w:val="20"/>
        </w:rPr>
      </w:pPr>
      <w:r w:rsidRPr="00570A84">
        <w:rPr>
          <w:rFonts w:ascii="Arial" w:hAnsi="Arial" w:cs="Arial"/>
          <w:snapToGrid w:val="0"/>
          <w:sz w:val="20"/>
        </w:rPr>
        <w:t>abbonamenti Regione Campania studenti per 319 €/000</w:t>
      </w:r>
    </w:p>
    <w:p w14:paraId="506F3DF4" w14:textId="77777777" w:rsidR="00570A84" w:rsidRPr="00570A84" w:rsidRDefault="00570A84" w:rsidP="0049512E">
      <w:pPr>
        <w:widowControl w:val="0"/>
        <w:numPr>
          <w:ilvl w:val="0"/>
          <w:numId w:val="32"/>
        </w:numPr>
        <w:tabs>
          <w:tab w:val="left" w:pos="1620"/>
          <w:tab w:val="num" w:pos="1980"/>
        </w:tabs>
        <w:jc w:val="both"/>
        <w:rPr>
          <w:rFonts w:ascii="Arial" w:hAnsi="Arial" w:cs="Arial"/>
          <w:snapToGrid w:val="0"/>
          <w:sz w:val="20"/>
        </w:rPr>
      </w:pPr>
      <w:r w:rsidRPr="00570A84">
        <w:rPr>
          <w:rFonts w:ascii="Arial" w:hAnsi="Arial" w:cs="Arial"/>
          <w:snapToGrid w:val="0"/>
          <w:sz w:val="20"/>
        </w:rPr>
        <w:t>Fatture titoli integrati 2017 da incassare per 207 €/000</w:t>
      </w:r>
    </w:p>
    <w:p w14:paraId="56A891E8" w14:textId="77777777" w:rsidR="00570A84" w:rsidRPr="00570A84" w:rsidRDefault="00570A84" w:rsidP="0049512E">
      <w:pPr>
        <w:widowControl w:val="0"/>
        <w:numPr>
          <w:ilvl w:val="0"/>
          <w:numId w:val="32"/>
        </w:numPr>
        <w:tabs>
          <w:tab w:val="left" w:pos="1620"/>
          <w:tab w:val="num" w:pos="1980"/>
        </w:tabs>
        <w:jc w:val="both"/>
        <w:rPr>
          <w:rFonts w:ascii="Arial" w:hAnsi="Arial" w:cs="Arial"/>
          <w:snapToGrid w:val="0"/>
          <w:sz w:val="20"/>
        </w:rPr>
      </w:pPr>
      <w:r w:rsidRPr="00570A84">
        <w:rPr>
          <w:rFonts w:ascii="Arial" w:hAnsi="Arial" w:cs="Arial"/>
          <w:snapToGrid w:val="0"/>
          <w:sz w:val="20"/>
        </w:rPr>
        <w:t>Fatture alibus 2017 da incassare per 36 €/000</w:t>
      </w:r>
    </w:p>
    <w:p w14:paraId="1BF26114" w14:textId="77777777" w:rsidR="00570A84" w:rsidRPr="00570A84" w:rsidRDefault="00570A84" w:rsidP="0049512E">
      <w:pPr>
        <w:widowControl w:val="0"/>
        <w:numPr>
          <w:ilvl w:val="0"/>
          <w:numId w:val="32"/>
        </w:numPr>
        <w:tabs>
          <w:tab w:val="left" w:pos="1620"/>
          <w:tab w:val="num" w:pos="1980"/>
        </w:tabs>
        <w:jc w:val="both"/>
        <w:rPr>
          <w:rFonts w:ascii="Arial" w:hAnsi="Arial" w:cs="Arial"/>
          <w:snapToGrid w:val="0"/>
          <w:sz w:val="20"/>
        </w:rPr>
      </w:pPr>
      <w:r w:rsidRPr="00570A84">
        <w:rPr>
          <w:rFonts w:ascii="Arial" w:hAnsi="Arial" w:cs="Arial"/>
          <w:snapToGrid w:val="0"/>
          <w:sz w:val="20"/>
        </w:rPr>
        <w:t>Fatture per personale distaccato anno 2017 per 355 €/000</w:t>
      </w:r>
    </w:p>
    <w:p w14:paraId="3C82F00B" w14:textId="77777777" w:rsidR="00570A84" w:rsidRPr="00570A84" w:rsidRDefault="00570A84" w:rsidP="0049512E">
      <w:pPr>
        <w:widowControl w:val="0"/>
        <w:numPr>
          <w:ilvl w:val="0"/>
          <w:numId w:val="32"/>
        </w:numPr>
        <w:tabs>
          <w:tab w:val="left" w:pos="1620"/>
          <w:tab w:val="num" w:pos="1980"/>
        </w:tabs>
        <w:jc w:val="both"/>
        <w:rPr>
          <w:rFonts w:ascii="Arial" w:hAnsi="Arial" w:cs="Arial"/>
          <w:snapToGrid w:val="0"/>
          <w:sz w:val="20"/>
        </w:rPr>
      </w:pPr>
      <w:r w:rsidRPr="00570A84">
        <w:rPr>
          <w:rFonts w:ascii="Arial" w:hAnsi="Arial" w:cs="Arial"/>
          <w:snapToGrid w:val="0"/>
          <w:sz w:val="20"/>
        </w:rPr>
        <w:t>Fatture per personale distaccato anno 2018 per 328 €/000</w:t>
      </w:r>
    </w:p>
    <w:p w14:paraId="063F9D2F" w14:textId="77777777" w:rsidR="00570A84" w:rsidRPr="00570A84" w:rsidRDefault="00570A84" w:rsidP="0049512E">
      <w:pPr>
        <w:widowControl w:val="0"/>
        <w:numPr>
          <w:ilvl w:val="0"/>
          <w:numId w:val="32"/>
        </w:numPr>
        <w:tabs>
          <w:tab w:val="left" w:pos="1620"/>
          <w:tab w:val="num" w:pos="1980"/>
        </w:tabs>
        <w:jc w:val="both"/>
        <w:rPr>
          <w:rFonts w:ascii="Arial" w:hAnsi="Arial" w:cs="Arial"/>
          <w:snapToGrid w:val="0"/>
          <w:sz w:val="20"/>
        </w:rPr>
      </w:pPr>
      <w:r w:rsidRPr="00570A84">
        <w:rPr>
          <w:rFonts w:ascii="Arial" w:hAnsi="Arial" w:cs="Arial"/>
          <w:snapToGrid w:val="0"/>
          <w:sz w:val="20"/>
        </w:rPr>
        <w:t>Fatture per personale distaccato anno 2019 per 245 €/000</w:t>
      </w:r>
    </w:p>
    <w:p w14:paraId="517DB69E" w14:textId="77777777" w:rsidR="00CD4C12" w:rsidRPr="00CD4C12" w:rsidRDefault="00570A84" w:rsidP="00570A84">
      <w:pPr>
        <w:widowControl w:val="0"/>
        <w:tabs>
          <w:tab w:val="left" w:pos="1620"/>
          <w:tab w:val="num" w:pos="1980"/>
        </w:tabs>
        <w:spacing w:before="120"/>
        <w:jc w:val="both"/>
        <w:rPr>
          <w:rFonts w:ascii="Arial" w:hAnsi="Arial" w:cs="Arial"/>
          <w:snapToGrid w:val="0"/>
          <w:sz w:val="20"/>
        </w:rPr>
      </w:pPr>
      <w:r w:rsidRPr="00570A84">
        <w:rPr>
          <w:rFonts w:ascii="Arial" w:hAnsi="Arial" w:cs="Arial"/>
          <w:snapToGrid w:val="0"/>
          <w:sz w:val="20"/>
        </w:rPr>
        <w:t>I crediti sopra dettagliati sono stati incassati per 2.727 €/000 successivamente alla data di riferimento del bilancio</w:t>
      </w:r>
      <w:r w:rsidR="00CD4C12" w:rsidRPr="00CD4C12">
        <w:rPr>
          <w:rFonts w:ascii="Arial" w:hAnsi="Arial" w:cs="Arial"/>
          <w:snapToGrid w:val="0"/>
          <w:sz w:val="20"/>
        </w:rPr>
        <w:t>.</w:t>
      </w:r>
    </w:p>
    <w:p w14:paraId="5ED39B1F" w14:textId="77777777" w:rsidR="00CD4C12" w:rsidRPr="00CD4C12" w:rsidRDefault="00CD4C12" w:rsidP="00570A84">
      <w:pPr>
        <w:widowControl w:val="0"/>
        <w:tabs>
          <w:tab w:val="left" w:pos="1620"/>
          <w:tab w:val="num" w:pos="1980"/>
        </w:tabs>
        <w:spacing w:before="120"/>
        <w:jc w:val="both"/>
        <w:rPr>
          <w:rFonts w:ascii="Arial" w:hAnsi="Arial" w:cs="Arial"/>
          <w:snapToGrid w:val="0"/>
          <w:sz w:val="20"/>
        </w:rPr>
      </w:pPr>
      <w:r w:rsidRPr="00CE6109">
        <w:rPr>
          <w:rFonts w:ascii="Arial" w:hAnsi="Arial" w:cs="Arial"/>
          <w:b/>
          <w:snapToGrid w:val="0"/>
          <w:sz w:val="20"/>
        </w:rPr>
        <w:t>Il credito verso il Consorzio per fatture da emettere</w:t>
      </w:r>
      <w:r w:rsidRPr="00FA68F4">
        <w:rPr>
          <w:rFonts w:ascii="Arial" w:hAnsi="Arial" w:cs="Arial"/>
          <w:snapToGrid w:val="0"/>
          <w:sz w:val="20"/>
        </w:rPr>
        <w:t xml:space="preserve"> deriva</w:t>
      </w:r>
      <w:r w:rsidRPr="00CD4C12">
        <w:rPr>
          <w:rFonts w:ascii="Arial" w:hAnsi="Arial" w:cs="Arial"/>
          <w:snapToGrid w:val="0"/>
          <w:sz w:val="20"/>
        </w:rPr>
        <w:t xml:space="preserve"> da:</w:t>
      </w:r>
    </w:p>
    <w:p w14:paraId="76F2D84A" w14:textId="77777777" w:rsidR="0005214A" w:rsidRPr="0005214A" w:rsidRDefault="0005214A" w:rsidP="0049512E">
      <w:pPr>
        <w:widowControl w:val="0"/>
        <w:numPr>
          <w:ilvl w:val="0"/>
          <w:numId w:val="25"/>
        </w:numPr>
        <w:spacing w:before="120"/>
        <w:ind w:left="714" w:hanging="357"/>
        <w:jc w:val="both"/>
        <w:rPr>
          <w:rFonts w:ascii="Arial" w:hAnsi="Arial" w:cs="Arial"/>
          <w:snapToGrid w:val="0"/>
          <w:sz w:val="20"/>
        </w:rPr>
      </w:pPr>
      <w:r w:rsidRPr="0005214A">
        <w:rPr>
          <w:rFonts w:ascii="Arial" w:hAnsi="Arial" w:cs="Arial"/>
          <w:snapToGrid w:val="0"/>
          <w:sz w:val="20"/>
        </w:rPr>
        <w:t xml:space="preserve">Compensazione Comune per agevolazioni tariffarie anni precedenti 305 €/000; </w:t>
      </w:r>
    </w:p>
    <w:p w14:paraId="5D607B87" w14:textId="77777777" w:rsidR="0005214A" w:rsidRPr="0005214A" w:rsidRDefault="0005214A" w:rsidP="0049512E">
      <w:pPr>
        <w:widowControl w:val="0"/>
        <w:numPr>
          <w:ilvl w:val="0"/>
          <w:numId w:val="25"/>
        </w:numPr>
        <w:jc w:val="both"/>
        <w:rPr>
          <w:rFonts w:ascii="Arial" w:hAnsi="Arial" w:cs="Arial"/>
          <w:snapToGrid w:val="0"/>
          <w:sz w:val="20"/>
        </w:rPr>
      </w:pPr>
      <w:r w:rsidRPr="0005214A">
        <w:rPr>
          <w:rFonts w:ascii="Arial" w:hAnsi="Arial" w:cs="Arial"/>
          <w:snapToGrid w:val="0"/>
          <w:sz w:val="20"/>
        </w:rPr>
        <w:t xml:space="preserve">Compensazione Comune per agevolazioni tariffarie 2017 889 €/000; </w:t>
      </w:r>
    </w:p>
    <w:p w14:paraId="596FD291" w14:textId="77777777" w:rsidR="0005214A" w:rsidRPr="0005214A" w:rsidRDefault="0005214A" w:rsidP="0049512E">
      <w:pPr>
        <w:widowControl w:val="0"/>
        <w:numPr>
          <w:ilvl w:val="0"/>
          <w:numId w:val="25"/>
        </w:numPr>
        <w:jc w:val="both"/>
        <w:rPr>
          <w:rFonts w:ascii="Arial" w:hAnsi="Arial" w:cs="Arial"/>
          <w:snapToGrid w:val="0"/>
          <w:sz w:val="20"/>
        </w:rPr>
      </w:pPr>
      <w:r w:rsidRPr="0005214A">
        <w:rPr>
          <w:rFonts w:ascii="Arial" w:hAnsi="Arial" w:cs="Arial"/>
          <w:snapToGrid w:val="0"/>
          <w:sz w:val="20"/>
        </w:rPr>
        <w:t xml:space="preserve">Compensazione Regione per abbonamenti studenti gratis 2019 1.861 €/000 </w:t>
      </w:r>
    </w:p>
    <w:p w14:paraId="31EDED6D" w14:textId="77777777" w:rsidR="0005214A" w:rsidRPr="0005214A" w:rsidRDefault="0005214A" w:rsidP="0049512E">
      <w:pPr>
        <w:widowControl w:val="0"/>
        <w:numPr>
          <w:ilvl w:val="0"/>
          <w:numId w:val="25"/>
        </w:numPr>
        <w:jc w:val="both"/>
        <w:rPr>
          <w:rFonts w:ascii="Arial" w:hAnsi="Arial" w:cs="Arial"/>
          <w:snapToGrid w:val="0"/>
          <w:sz w:val="20"/>
        </w:rPr>
      </w:pPr>
      <w:r w:rsidRPr="0005214A">
        <w:rPr>
          <w:rFonts w:ascii="Arial" w:hAnsi="Arial" w:cs="Arial"/>
          <w:snapToGrid w:val="0"/>
          <w:sz w:val="20"/>
        </w:rPr>
        <w:t xml:space="preserve">conguaglio Tic 2019 per 1.052 €/000; </w:t>
      </w:r>
    </w:p>
    <w:p w14:paraId="0FBA45E4" w14:textId="77777777" w:rsidR="0005214A" w:rsidRPr="0005214A" w:rsidRDefault="0005214A" w:rsidP="0049512E">
      <w:pPr>
        <w:widowControl w:val="0"/>
        <w:numPr>
          <w:ilvl w:val="0"/>
          <w:numId w:val="25"/>
        </w:numPr>
        <w:jc w:val="both"/>
        <w:rPr>
          <w:rFonts w:ascii="Arial" w:hAnsi="Arial" w:cs="Arial"/>
          <w:snapToGrid w:val="0"/>
          <w:sz w:val="20"/>
        </w:rPr>
      </w:pPr>
      <w:r w:rsidRPr="0005214A">
        <w:rPr>
          <w:rFonts w:ascii="Arial" w:hAnsi="Arial" w:cs="Arial"/>
          <w:snapToGrid w:val="0"/>
          <w:sz w:val="20"/>
        </w:rPr>
        <w:t xml:space="preserve">personale distaccato 79 €/000; </w:t>
      </w:r>
    </w:p>
    <w:p w14:paraId="781806C1" w14:textId="77777777" w:rsidR="0005214A" w:rsidRPr="0005214A" w:rsidRDefault="0005214A" w:rsidP="0049512E">
      <w:pPr>
        <w:widowControl w:val="0"/>
        <w:numPr>
          <w:ilvl w:val="0"/>
          <w:numId w:val="25"/>
        </w:numPr>
        <w:jc w:val="both"/>
        <w:rPr>
          <w:rFonts w:ascii="Arial" w:hAnsi="Arial" w:cs="Arial"/>
          <w:snapToGrid w:val="0"/>
          <w:sz w:val="20"/>
        </w:rPr>
      </w:pPr>
      <w:r w:rsidRPr="0005214A">
        <w:rPr>
          <w:rFonts w:ascii="Arial" w:hAnsi="Arial" w:cs="Arial"/>
          <w:snapToGrid w:val="0"/>
          <w:sz w:val="20"/>
        </w:rPr>
        <w:t>tic categorie protette Regione anno 2019 per 490 €/000;</w:t>
      </w:r>
    </w:p>
    <w:p w14:paraId="4CC80C87" w14:textId="77777777" w:rsidR="00CD4C12" w:rsidRPr="0005214A" w:rsidRDefault="0005214A" w:rsidP="0049512E">
      <w:pPr>
        <w:widowControl w:val="0"/>
        <w:numPr>
          <w:ilvl w:val="0"/>
          <w:numId w:val="25"/>
        </w:numPr>
        <w:jc w:val="both"/>
        <w:rPr>
          <w:rFonts w:ascii="Arial" w:hAnsi="Arial" w:cs="Arial"/>
          <w:snapToGrid w:val="0"/>
          <w:sz w:val="20"/>
        </w:rPr>
      </w:pPr>
      <w:r w:rsidRPr="0005214A">
        <w:rPr>
          <w:rFonts w:ascii="Arial" w:hAnsi="Arial" w:cs="Arial"/>
          <w:snapToGrid w:val="0"/>
          <w:sz w:val="20"/>
        </w:rPr>
        <w:t>Alibus 2019 per 73 €/000</w:t>
      </w:r>
      <w:r w:rsidR="00CD4C12" w:rsidRPr="0005214A">
        <w:rPr>
          <w:rFonts w:ascii="Arial" w:hAnsi="Arial" w:cs="Arial"/>
          <w:snapToGrid w:val="0"/>
          <w:sz w:val="20"/>
        </w:rPr>
        <w:t>;</w:t>
      </w:r>
    </w:p>
    <w:p w14:paraId="31957EF8" w14:textId="77777777" w:rsidR="00CD4C12" w:rsidRPr="00CD4C12" w:rsidRDefault="0005214A" w:rsidP="00CD4C12">
      <w:pPr>
        <w:widowControl w:val="0"/>
        <w:tabs>
          <w:tab w:val="left" w:pos="1620"/>
          <w:tab w:val="num" w:pos="1980"/>
        </w:tabs>
        <w:spacing w:before="120" w:after="120"/>
        <w:jc w:val="both"/>
        <w:rPr>
          <w:rFonts w:ascii="Arial" w:hAnsi="Arial" w:cs="Arial"/>
          <w:snapToGrid w:val="0"/>
          <w:sz w:val="20"/>
        </w:rPr>
      </w:pPr>
      <w:r w:rsidRPr="0005214A">
        <w:rPr>
          <w:rFonts w:ascii="Arial" w:hAnsi="Arial" w:cs="Arial"/>
          <w:snapToGrid w:val="0"/>
          <w:sz w:val="20"/>
        </w:rPr>
        <w:t>I crediti per fatture da emettere sopra dettagliati sono stati fatturati per 3.515 €/000 ed incassati per 3.035 €/000 successivamente alla data di riferimento del bilancio</w:t>
      </w:r>
      <w:r w:rsidR="00CD4C12" w:rsidRPr="00CD4C12">
        <w:rPr>
          <w:rFonts w:ascii="Arial" w:hAnsi="Arial" w:cs="Arial"/>
          <w:snapToGrid w:val="0"/>
          <w:sz w:val="20"/>
        </w:rPr>
        <w:t>.</w:t>
      </w:r>
    </w:p>
    <w:p w14:paraId="4F34C776" w14:textId="77777777" w:rsidR="0005214A" w:rsidRPr="0005214A" w:rsidRDefault="0005214A" w:rsidP="0005214A">
      <w:pPr>
        <w:widowControl w:val="0"/>
        <w:tabs>
          <w:tab w:val="left" w:pos="1620"/>
          <w:tab w:val="num" w:pos="1980"/>
        </w:tabs>
        <w:spacing w:before="120" w:after="120"/>
        <w:jc w:val="both"/>
        <w:rPr>
          <w:rFonts w:ascii="Arial" w:hAnsi="Arial" w:cs="Arial"/>
          <w:snapToGrid w:val="0"/>
          <w:sz w:val="20"/>
        </w:rPr>
      </w:pPr>
      <w:r w:rsidRPr="0005214A">
        <w:rPr>
          <w:rFonts w:ascii="Arial" w:hAnsi="Arial" w:cs="Arial"/>
          <w:snapToGrid w:val="0"/>
          <w:sz w:val="20"/>
        </w:rPr>
        <w:t xml:space="preserve">Con riferimento al credito per integrazione tariffaria 2002-2003, nel 2009 fu istituito un fondo svalutazione di 2.179 €/000, giacché si ravvisarono elementi ragionevolmente certi da escludere una futura recuperabilità. Con nota del 19/01/2010 il Consorzio Unico Campania accertò la posta creditoria di ANM, ma al contempo dichiarò la insussistenza a quella data della delibera regionale ricognitiva delle residue integrazioni richieste dal Consorzio Unico Campania per gli </w:t>
      </w:r>
    </w:p>
    <w:p w14:paraId="36D4CBC4" w14:textId="77777777" w:rsidR="0005214A" w:rsidRPr="0005214A" w:rsidRDefault="0005214A" w:rsidP="0005214A">
      <w:pPr>
        <w:widowControl w:val="0"/>
        <w:tabs>
          <w:tab w:val="left" w:pos="1620"/>
          <w:tab w:val="num" w:pos="1980"/>
        </w:tabs>
        <w:spacing w:before="120" w:after="120"/>
        <w:jc w:val="both"/>
        <w:rPr>
          <w:rFonts w:ascii="Arial" w:hAnsi="Arial" w:cs="Arial"/>
          <w:snapToGrid w:val="0"/>
          <w:sz w:val="20"/>
        </w:rPr>
      </w:pPr>
      <w:r w:rsidRPr="0005214A">
        <w:rPr>
          <w:rFonts w:ascii="Arial" w:hAnsi="Arial" w:cs="Arial"/>
          <w:snapToGrid w:val="0"/>
          <w:sz w:val="20"/>
        </w:rPr>
        <w:t xml:space="preserve">anni 2002-2003. Con nota del 04/02/2011 il Presidente del Consorzio Unico Campania ha confermato ad ANM il permanere della posizione della Regione Campania in ordine all’insussistenza di obbligazioni valide ed efficaci per le integrazioni alle annualità 2002/2003. Nel 2012 si ritenne incrementare il fondo svalutazione fino a concorrenza dell’importo di 4.660 €/000, con un ulteriore 25% rispetto a quello esistente nel precedente esercizio, vista l’alea di una remota </w:t>
      </w:r>
      <w:r w:rsidRPr="0005214A">
        <w:rPr>
          <w:rFonts w:ascii="Arial" w:hAnsi="Arial" w:cs="Arial"/>
          <w:snapToGrid w:val="0"/>
          <w:sz w:val="20"/>
        </w:rPr>
        <w:lastRenderedPageBreak/>
        <w:t>recuperabilità; nel 2013 il credito è stato interamente svalutato sino a concorrenza di 6.213 €/000. Nel 2016 il fondo svalutazione dei crediti vs Consorzio è stato incrementato di 585 €/000 legati sostanzialmente al credito residuo relativo all’annualità 2014-2015.</w:t>
      </w:r>
    </w:p>
    <w:p w14:paraId="571E8E93" w14:textId="4532F792" w:rsidR="00FA68F4" w:rsidRDefault="0005214A" w:rsidP="008B3BFA">
      <w:pPr>
        <w:widowControl w:val="0"/>
        <w:tabs>
          <w:tab w:val="left" w:pos="1620"/>
          <w:tab w:val="num" w:pos="1980"/>
        </w:tabs>
        <w:spacing w:before="120" w:after="120"/>
        <w:jc w:val="both"/>
        <w:rPr>
          <w:rFonts w:ascii="Arial" w:hAnsi="Arial" w:cs="Arial"/>
          <w:b/>
          <w:snapToGrid w:val="0"/>
          <w:sz w:val="20"/>
          <w:u w:val="single"/>
        </w:rPr>
      </w:pPr>
      <w:r w:rsidRPr="0005214A">
        <w:rPr>
          <w:rFonts w:ascii="Arial" w:hAnsi="Arial" w:cs="Arial"/>
          <w:snapToGrid w:val="0"/>
          <w:sz w:val="20"/>
        </w:rPr>
        <w:t>Il processo di incasso dei residui 2017 si è rallentato a seguito del concordato</w:t>
      </w:r>
      <w:r w:rsidR="00CD4C12" w:rsidRPr="00CD4C12">
        <w:rPr>
          <w:rFonts w:ascii="Arial" w:hAnsi="Arial" w:cs="Arial"/>
          <w:snapToGrid w:val="0"/>
          <w:sz w:val="20"/>
        </w:rPr>
        <w:t>.</w:t>
      </w:r>
    </w:p>
    <w:p w14:paraId="4A5090A4" w14:textId="77777777" w:rsidR="00EE4AF0" w:rsidRPr="007C3B58" w:rsidRDefault="00EE4AF0" w:rsidP="00526C0B">
      <w:pPr>
        <w:widowControl w:val="0"/>
        <w:spacing w:before="120" w:after="120"/>
        <w:jc w:val="both"/>
        <w:rPr>
          <w:rFonts w:ascii="Arial" w:hAnsi="Arial" w:cs="Arial"/>
          <w:b/>
          <w:snapToGrid w:val="0"/>
          <w:sz w:val="20"/>
          <w:u w:val="single"/>
        </w:rPr>
      </w:pPr>
      <w:r w:rsidRPr="007C3B58">
        <w:rPr>
          <w:rFonts w:ascii="Arial" w:hAnsi="Arial" w:cs="Arial"/>
          <w:b/>
          <w:snapToGrid w:val="0"/>
          <w:sz w:val="20"/>
          <w:u w:val="single"/>
        </w:rPr>
        <w:t>Crediti verso controllante</w:t>
      </w:r>
    </w:p>
    <w:p w14:paraId="0FC9CB5B" w14:textId="323ADB49" w:rsidR="0030461D" w:rsidRPr="007C3B58" w:rsidRDefault="00EE4AF0" w:rsidP="00526C0B">
      <w:pPr>
        <w:widowControl w:val="0"/>
        <w:spacing w:before="120" w:after="120"/>
        <w:jc w:val="both"/>
        <w:rPr>
          <w:rFonts w:ascii="Arial" w:hAnsi="Arial" w:cs="Arial"/>
          <w:snapToGrid w:val="0"/>
          <w:sz w:val="20"/>
        </w:rPr>
      </w:pPr>
      <w:r w:rsidRPr="007C3B58">
        <w:rPr>
          <w:rFonts w:ascii="Arial" w:hAnsi="Arial" w:cs="Arial"/>
          <w:snapToGrid w:val="0"/>
          <w:sz w:val="20"/>
        </w:rPr>
        <w:t>La voce crediti verso cont</w:t>
      </w:r>
      <w:r w:rsidR="00A22B5D" w:rsidRPr="007C3B58">
        <w:rPr>
          <w:rFonts w:ascii="Arial" w:hAnsi="Arial" w:cs="Arial"/>
          <w:snapToGrid w:val="0"/>
          <w:sz w:val="20"/>
        </w:rPr>
        <w:t xml:space="preserve">rollante ammonta a complessivi </w:t>
      </w:r>
      <w:r w:rsidR="0094136E">
        <w:rPr>
          <w:rFonts w:ascii="Arial" w:hAnsi="Arial" w:cs="Arial"/>
          <w:snapToGrid w:val="0"/>
          <w:sz w:val="20"/>
        </w:rPr>
        <w:t>126.183</w:t>
      </w:r>
      <w:r w:rsidR="00FA68F4">
        <w:rPr>
          <w:rFonts w:ascii="Arial" w:hAnsi="Arial" w:cs="Arial"/>
          <w:snapToGrid w:val="0"/>
          <w:sz w:val="20"/>
        </w:rPr>
        <w:t xml:space="preserve"> </w:t>
      </w:r>
      <w:r w:rsidR="00FA68F4" w:rsidRPr="0005214A">
        <w:rPr>
          <w:rFonts w:ascii="Arial" w:hAnsi="Arial" w:cs="Arial"/>
          <w:snapToGrid w:val="0"/>
          <w:sz w:val="20"/>
        </w:rPr>
        <w:t>€/000</w:t>
      </w:r>
      <w:r w:rsidRPr="007C3B58">
        <w:rPr>
          <w:rFonts w:ascii="Arial" w:hAnsi="Arial" w:cs="Arial"/>
          <w:snapToGrid w:val="0"/>
          <w:sz w:val="20"/>
        </w:rPr>
        <w:t>ed accoglie i crediti vantati verso il Comune di Napoli</w:t>
      </w:r>
      <w:r w:rsidR="00C23BE0" w:rsidRPr="007C3B58">
        <w:rPr>
          <w:rFonts w:ascii="Arial" w:hAnsi="Arial" w:cs="Arial"/>
          <w:snapToGrid w:val="0"/>
          <w:sz w:val="20"/>
        </w:rPr>
        <w:t>.</w:t>
      </w:r>
      <w:r w:rsidRPr="007C3B58">
        <w:rPr>
          <w:rFonts w:ascii="Arial" w:hAnsi="Arial" w:cs="Arial"/>
          <w:snapToGrid w:val="0"/>
          <w:sz w:val="20"/>
        </w:rPr>
        <w:t xml:space="preserve"> </w:t>
      </w:r>
    </w:p>
    <w:p w14:paraId="4B8B2B7D" w14:textId="3D748C9C" w:rsidR="007C3B58" w:rsidRDefault="004C7A74" w:rsidP="007C3B58">
      <w:pPr>
        <w:widowControl w:val="0"/>
        <w:spacing w:before="120" w:after="120"/>
        <w:jc w:val="both"/>
        <w:rPr>
          <w:rFonts w:ascii="Arial" w:hAnsi="Arial" w:cs="Arial"/>
          <w:snapToGrid w:val="0"/>
          <w:sz w:val="20"/>
        </w:rPr>
      </w:pPr>
      <w:r w:rsidRPr="007C3B58">
        <w:rPr>
          <w:rFonts w:ascii="Arial" w:hAnsi="Arial" w:cs="Arial"/>
          <w:snapToGrid w:val="0"/>
          <w:sz w:val="20"/>
        </w:rPr>
        <w:t xml:space="preserve">Tale voce comprende </w:t>
      </w:r>
      <w:r w:rsidR="0094136E">
        <w:rPr>
          <w:rFonts w:ascii="Arial" w:hAnsi="Arial" w:cs="Arial"/>
          <w:snapToGrid w:val="0"/>
          <w:sz w:val="20"/>
        </w:rPr>
        <w:t xml:space="preserve">principalmente </w:t>
      </w:r>
      <w:r w:rsidRPr="007C3B58">
        <w:rPr>
          <w:rFonts w:ascii="Arial" w:hAnsi="Arial" w:cs="Arial"/>
          <w:snapToGrid w:val="0"/>
          <w:sz w:val="20"/>
        </w:rPr>
        <w:t>i crediti vantati nei confronti del Comune di Napoli da parte della Napoli Holding</w:t>
      </w:r>
      <w:r w:rsidR="00360BEA">
        <w:rPr>
          <w:rFonts w:ascii="Arial" w:hAnsi="Arial" w:cs="Arial"/>
          <w:snapToGrid w:val="0"/>
          <w:sz w:val="20"/>
        </w:rPr>
        <w:t xml:space="preserve"> di cui, peraltro, </w:t>
      </w:r>
      <w:r w:rsidR="00A31744" w:rsidRPr="0094136E">
        <w:rPr>
          <w:rFonts w:ascii="Arial" w:hAnsi="Arial" w:cs="Arial"/>
          <w:snapToGrid w:val="0"/>
          <w:sz w:val="20"/>
        </w:rPr>
        <w:t>5.600</w:t>
      </w:r>
      <w:r w:rsidR="00FA68F4">
        <w:rPr>
          <w:rFonts w:ascii="Arial" w:hAnsi="Arial" w:cs="Arial"/>
          <w:snapToGrid w:val="0"/>
          <w:sz w:val="20"/>
        </w:rPr>
        <w:t xml:space="preserve"> </w:t>
      </w:r>
      <w:r w:rsidR="00FA68F4" w:rsidRPr="0005214A">
        <w:rPr>
          <w:rFonts w:ascii="Arial" w:hAnsi="Arial" w:cs="Arial"/>
          <w:snapToGrid w:val="0"/>
          <w:sz w:val="20"/>
        </w:rPr>
        <w:t>€/000</w:t>
      </w:r>
      <w:r w:rsidR="00FA68F4">
        <w:rPr>
          <w:rFonts w:ascii="Arial" w:hAnsi="Arial" w:cs="Arial"/>
          <w:snapToGrid w:val="0"/>
          <w:sz w:val="20"/>
        </w:rPr>
        <w:t xml:space="preserve"> </w:t>
      </w:r>
      <w:r w:rsidR="007C3B58" w:rsidRPr="007C3B58">
        <w:rPr>
          <w:rFonts w:ascii="Arial" w:hAnsi="Arial" w:cs="Arial"/>
          <w:snapToGrid w:val="0"/>
          <w:sz w:val="20"/>
        </w:rPr>
        <w:t>sono stati oggetto di una compensazione operata</w:t>
      </w:r>
      <w:r w:rsidR="00360BEA">
        <w:rPr>
          <w:rFonts w:ascii="Arial" w:hAnsi="Arial" w:cs="Arial"/>
          <w:snapToGrid w:val="0"/>
          <w:sz w:val="20"/>
        </w:rPr>
        <w:t xml:space="preserve"> </w:t>
      </w:r>
      <w:r w:rsidR="007C3B58" w:rsidRPr="007C3B58">
        <w:rPr>
          <w:rFonts w:ascii="Arial" w:hAnsi="Arial" w:cs="Arial"/>
          <w:snapToGrid w:val="0"/>
          <w:sz w:val="20"/>
        </w:rPr>
        <w:t xml:space="preserve">unilateralmente dal Comune di Napoli. </w:t>
      </w:r>
      <w:r w:rsidR="0094136E" w:rsidRPr="0094136E">
        <w:rPr>
          <w:rFonts w:ascii="Arial" w:hAnsi="Arial" w:cs="Arial"/>
          <w:snapToGrid w:val="0"/>
          <w:sz w:val="20"/>
        </w:rPr>
        <w:t>Tali compensazioni non sono riflesse nel bilancio della Napoli Holding in quanto l'atto di compensazione non è stato riconosciuto dalla stessa ed è possibile effettuare l’estinzione dei debiti mediante compensazione solo ed esclusivamente tramite pattuizione tra le parti.</w:t>
      </w:r>
    </w:p>
    <w:p w14:paraId="3510348D" w14:textId="5675AF0D" w:rsidR="00F9469D" w:rsidRPr="00F9469D" w:rsidRDefault="00F9469D" w:rsidP="00F9469D">
      <w:pPr>
        <w:widowControl w:val="0"/>
        <w:spacing w:before="120" w:after="120"/>
        <w:jc w:val="both"/>
        <w:rPr>
          <w:rFonts w:ascii="Arial" w:hAnsi="Arial" w:cs="Arial"/>
          <w:snapToGrid w:val="0"/>
          <w:sz w:val="20"/>
        </w:rPr>
      </w:pPr>
      <w:r w:rsidRPr="00F9469D">
        <w:rPr>
          <w:rFonts w:ascii="Arial" w:hAnsi="Arial" w:cs="Arial"/>
          <w:snapToGrid w:val="0"/>
          <w:sz w:val="20"/>
        </w:rPr>
        <w:t xml:space="preserve">Tutti i crediti verso </w:t>
      </w:r>
      <w:r>
        <w:rPr>
          <w:rFonts w:ascii="Arial" w:hAnsi="Arial" w:cs="Arial"/>
          <w:snapToGrid w:val="0"/>
          <w:sz w:val="20"/>
        </w:rPr>
        <w:t>il Comune di Napoli vantati dalla Napoli Holding</w:t>
      </w:r>
      <w:r w:rsidRPr="00F9469D">
        <w:rPr>
          <w:rFonts w:ascii="Arial" w:hAnsi="Arial" w:cs="Arial"/>
          <w:snapToGrid w:val="0"/>
          <w:sz w:val="20"/>
        </w:rPr>
        <w:t>, inoltre, sono stati oggetto di un’operazione di ricognizione e certificazione che ha comportato lo stralcio di alcuni di essi, ovvero un incremento del fondo svalutazione ai fini dell’adeguamento del valore nominale a quello di presumibile realizzo. In particolare, alla data del 31.12.2019, risultano completamente svalutati i crediti per l’attività di supporto logistico alla Polizia Municipale di Napoli, pari a circa  1.252</w:t>
      </w:r>
      <w:r w:rsidR="00FA68F4">
        <w:rPr>
          <w:rFonts w:ascii="Arial" w:hAnsi="Arial" w:cs="Arial"/>
          <w:snapToGrid w:val="0"/>
          <w:sz w:val="20"/>
        </w:rPr>
        <w:t xml:space="preserve"> </w:t>
      </w:r>
      <w:r w:rsidR="00FA68F4" w:rsidRPr="0005214A">
        <w:rPr>
          <w:rFonts w:ascii="Arial" w:hAnsi="Arial" w:cs="Arial"/>
          <w:snapToGrid w:val="0"/>
          <w:sz w:val="20"/>
        </w:rPr>
        <w:t>€/000</w:t>
      </w:r>
      <w:r w:rsidRPr="00F9469D">
        <w:rPr>
          <w:rFonts w:ascii="Arial" w:hAnsi="Arial" w:cs="Arial"/>
          <w:snapToGrid w:val="0"/>
          <w:sz w:val="20"/>
        </w:rPr>
        <w:t xml:space="preserve">, quelli per l’attività di videosorveglianza, pari a circa </w:t>
      </w:r>
      <w:r w:rsidR="00FA68F4">
        <w:rPr>
          <w:rFonts w:ascii="Arial" w:hAnsi="Arial" w:cs="Arial"/>
          <w:snapToGrid w:val="0"/>
          <w:sz w:val="20"/>
        </w:rPr>
        <w:t>1</w:t>
      </w:r>
      <w:r w:rsidRPr="00F9469D">
        <w:rPr>
          <w:rFonts w:ascii="Arial" w:hAnsi="Arial" w:cs="Arial"/>
          <w:snapToGrid w:val="0"/>
          <w:sz w:val="20"/>
        </w:rPr>
        <w:t xml:space="preserve">18 </w:t>
      </w:r>
      <w:r w:rsidR="00FA68F4" w:rsidRPr="0005214A">
        <w:rPr>
          <w:rFonts w:ascii="Arial" w:hAnsi="Arial" w:cs="Arial"/>
          <w:snapToGrid w:val="0"/>
          <w:sz w:val="20"/>
        </w:rPr>
        <w:t>€/000</w:t>
      </w:r>
      <w:r w:rsidRPr="00F9469D">
        <w:rPr>
          <w:rFonts w:ascii="Arial" w:hAnsi="Arial" w:cs="Arial"/>
          <w:snapToGrid w:val="0"/>
          <w:sz w:val="20"/>
        </w:rPr>
        <w:t xml:space="preserve">, oltre i crediti per le colonnine taxi per 98 </w:t>
      </w:r>
      <w:r w:rsidR="00FA68F4" w:rsidRPr="0005214A">
        <w:rPr>
          <w:rFonts w:ascii="Arial" w:hAnsi="Arial" w:cs="Arial"/>
          <w:snapToGrid w:val="0"/>
          <w:sz w:val="20"/>
        </w:rPr>
        <w:t>€/000</w:t>
      </w:r>
      <w:r w:rsidRPr="00F9469D">
        <w:rPr>
          <w:rFonts w:ascii="Arial" w:hAnsi="Arial" w:cs="Arial"/>
          <w:snapToGrid w:val="0"/>
          <w:sz w:val="20"/>
        </w:rPr>
        <w:t>. Ai fini della integrale svalutazione di detti crediti, nell’esercizio si è operato l’accantonamento al fondo svalutazione, già costituito al 31.12.2018 per circa 908</w:t>
      </w:r>
      <w:r w:rsidR="00FA68F4">
        <w:rPr>
          <w:rFonts w:ascii="Arial" w:hAnsi="Arial" w:cs="Arial"/>
          <w:snapToGrid w:val="0"/>
          <w:sz w:val="20"/>
        </w:rPr>
        <w:t xml:space="preserve"> </w:t>
      </w:r>
      <w:r w:rsidR="00FA68F4" w:rsidRPr="0005214A">
        <w:rPr>
          <w:rFonts w:ascii="Arial" w:hAnsi="Arial" w:cs="Arial"/>
          <w:snapToGrid w:val="0"/>
          <w:sz w:val="20"/>
        </w:rPr>
        <w:t>€/000</w:t>
      </w:r>
      <w:r w:rsidRPr="00F9469D">
        <w:rPr>
          <w:rFonts w:ascii="Arial" w:hAnsi="Arial" w:cs="Arial"/>
          <w:snapToGrid w:val="0"/>
          <w:sz w:val="20"/>
        </w:rPr>
        <w:t xml:space="preserve">, per ulteriori 560 </w:t>
      </w:r>
      <w:r w:rsidR="00FA68F4" w:rsidRPr="0005214A">
        <w:rPr>
          <w:rFonts w:ascii="Arial" w:hAnsi="Arial" w:cs="Arial"/>
          <w:snapToGrid w:val="0"/>
          <w:sz w:val="20"/>
        </w:rPr>
        <w:t>€/000</w:t>
      </w:r>
      <w:r w:rsidRPr="00F9469D">
        <w:rPr>
          <w:rFonts w:ascii="Arial" w:hAnsi="Arial" w:cs="Arial"/>
          <w:snapToGrid w:val="0"/>
          <w:sz w:val="20"/>
        </w:rPr>
        <w:t>. Lo stralcio ha riguardato invece i crediti per interessi moratori per ritardato pagamento per 387</w:t>
      </w:r>
      <w:r w:rsidR="00FA68F4">
        <w:rPr>
          <w:rFonts w:ascii="Arial" w:hAnsi="Arial" w:cs="Arial"/>
          <w:snapToGrid w:val="0"/>
          <w:sz w:val="20"/>
        </w:rPr>
        <w:t xml:space="preserve"> </w:t>
      </w:r>
      <w:r w:rsidR="00FA68F4" w:rsidRPr="0005214A">
        <w:rPr>
          <w:rFonts w:ascii="Arial" w:hAnsi="Arial" w:cs="Arial"/>
          <w:snapToGrid w:val="0"/>
          <w:sz w:val="20"/>
        </w:rPr>
        <w:t>€/000</w:t>
      </w:r>
      <w:r w:rsidRPr="00F9469D">
        <w:rPr>
          <w:rFonts w:ascii="Arial" w:hAnsi="Arial" w:cs="Arial"/>
          <w:snapToGrid w:val="0"/>
          <w:sz w:val="20"/>
        </w:rPr>
        <w:t xml:space="preserve"> ed i crediti per il rimborso cariche elettive circa 16</w:t>
      </w:r>
      <w:r w:rsidR="00FA68F4">
        <w:rPr>
          <w:rFonts w:ascii="Arial" w:hAnsi="Arial" w:cs="Arial"/>
          <w:snapToGrid w:val="0"/>
          <w:sz w:val="20"/>
        </w:rPr>
        <w:t xml:space="preserve"> </w:t>
      </w:r>
      <w:r w:rsidR="00FA68F4" w:rsidRPr="0005214A">
        <w:rPr>
          <w:rFonts w:ascii="Arial" w:hAnsi="Arial" w:cs="Arial"/>
          <w:snapToGrid w:val="0"/>
          <w:sz w:val="20"/>
        </w:rPr>
        <w:t>€/000</w:t>
      </w:r>
      <w:r w:rsidRPr="00F9469D">
        <w:rPr>
          <w:rFonts w:ascii="Arial" w:hAnsi="Arial" w:cs="Arial"/>
          <w:snapToGrid w:val="0"/>
          <w:sz w:val="20"/>
        </w:rPr>
        <w:t>, utilizzando il fondo svalutazione crediti in quanto già completamente svalutati mentre è stata rilevata la perdita su crediti per l’attività di segnaletica per circa 153</w:t>
      </w:r>
      <w:r w:rsidR="00FA68F4">
        <w:rPr>
          <w:rFonts w:ascii="Arial" w:hAnsi="Arial" w:cs="Arial"/>
          <w:snapToGrid w:val="0"/>
          <w:sz w:val="20"/>
        </w:rPr>
        <w:t xml:space="preserve"> </w:t>
      </w:r>
      <w:r w:rsidR="00FA68F4" w:rsidRPr="0005214A">
        <w:rPr>
          <w:rFonts w:ascii="Arial" w:hAnsi="Arial" w:cs="Arial"/>
          <w:snapToGrid w:val="0"/>
          <w:sz w:val="20"/>
        </w:rPr>
        <w:t>€/000</w:t>
      </w:r>
      <w:r w:rsidRPr="00F9469D">
        <w:rPr>
          <w:rFonts w:ascii="Arial" w:hAnsi="Arial" w:cs="Arial"/>
          <w:snapToGrid w:val="0"/>
          <w:sz w:val="20"/>
        </w:rPr>
        <w:t>, in quanto crediti di difficile esigibilità, considerata la mancata certificazione da parte del Comune di Napoli.</w:t>
      </w:r>
    </w:p>
    <w:p w14:paraId="49BCCC67" w14:textId="7CDD4C2A" w:rsidR="00F9469D" w:rsidRPr="00F9469D" w:rsidRDefault="00F9469D" w:rsidP="00F9469D">
      <w:pPr>
        <w:widowControl w:val="0"/>
        <w:spacing w:before="120" w:after="120"/>
        <w:jc w:val="both"/>
        <w:rPr>
          <w:rFonts w:ascii="Arial" w:hAnsi="Arial" w:cs="Arial"/>
          <w:snapToGrid w:val="0"/>
          <w:sz w:val="20"/>
        </w:rPr>
      </w:pPr>
      <w:r w:rsidRPr="00F9469D">
        <w:rPr>
          <w:rFonts w:ascii="Arial" w:hAnsi="Arial" w:cs="Arial"/>
          <w:snapToGrid w:val="0"/>
          <w:sz w:val="20"/>
        </w:rPr>
        <w:t xml:space="preserve">Alla data del 31.12.2019, pertanto, i crediti verso la controllante </w:t>
      </w:r>
      <w:r>
        <w:rPr>
          <w:rFonts w:ascii="Arial" w:hAnsi="Arial" w:cs="Arial"/>
          <w:snapToGrid w:val="0"/>
          <w:sz w:val="20"/>
        </w:rPr>
        <w:t xml:space="preserve">vantati da Napoli Holding </w:t>
      </w:r>
      <w:r w:rsidRPr="00F9469D">
        <w:rPr>
          <w:rFonts w:ascii="Arial" w:hAnsi="Arial" w:cs="Arial"/>
          <w:snapToGrid w:val="0"/>
          <w:sz w:val="20"/>
        </w:rPr>
        <w:t xml:space="preserve">sono costituiti essenzialmente dai corrispettivi maturati sulle prestazioni rese al 2013/2014 per le attività di semaforica per circa 864 </w:t>
      </w:r>
      <w:r w:rsidR="00FA68F4" w:rsidRPr="0005214A">
        <w:rPr>
          <w:rFonts w:ascii="Arial" w:hAnsi="Arial" w:cs="Arial"/>
          <w:snapToGrid w:val="0"/>
          <w:sz w:val="20"/>
        </w:rPr>
        <w:t>€/000</w:t>
      </w:r>
      <w:r w:rsidRPr="00F9469D">
        <w:rPr>
          <w:rFonts w:ascii="Arial" w:hAnsi="Arial" w:cs="Arial"/>
          <w:snapToGrid w:val="0"/>
          <w:sz w:val="20"/>
        </w:rPr>
        <w:t>, (oggetto della compensazione di cui sopra) oltre che dai crediti vantati verso l’ente a seguito della stipula della Convenzione per l’assunzion</w:t>
      </w:r>
      <w:r w:rsidR="00FA68F4">
        <w:rPr>
          <w:rFonts w:ascii="Arial" w:hAnsi="Arial" w:cs="Arial"/>
          <w:snapToGrid w:val="0"/>
          <w:sz w:val="20"/>
        </w:rPr>
        <w:t>e</w:t>
      </w:r>
      <w:r w:rsidRPr="00F9469D">
        <w:rPr>
          <w:rFonts w:ascii="Arial" w:hAnsi="Arial" w:cs="Arial"/>
          <w:snapToGrid w:val="0"/>
          <w:sz w:val="20"/>
        </w:rPr>
        <w:t xml:space="preserve"> delle funzioni in materia di Trasporto Pubblico Locale sottoscritta dal Comune e Napoli Holding in data 18/12/2014; in particolare, tale voce comprende, al lordo delle svalutazioni: circa 4.737 </w:t>
      </w:r>
      <w:r w:rsidR="00FA68F4" w:rsidRPr="0005214A">
        <w:rPr>
          <w:rFonts w:ascii="Arial" w:hAnsi="Arial" w:cs="Arial"/>
          <w:snapToGrid w:val="0"/>
          <w:sz w:val="20"/>
        </w:rPr>
        <w:t>€/000</w:t>
      </w:r>
      <w:r w:rsidRPr="00F9469D">
        <w:rPr>
          <w:rFonts w:ascii="Arial" w:hAnsi="Arial" w:cs="Arial"/>
          <w:snapToGrid w:val="0"/>
          <w:sz w:val="20"/>
        </w:rPr>
        <w:t xml:space="preserve"> per contributi TPL anno 2015, circa 36.953</w:t>
      </w:r>
      <w:r w:rsidR="00FA68F4">
        <w:rPr>
          <w:rFonts w:ascii="Arial" w:hAnsi="Arial" w:cs="Arial"/>
          <w:snapToGrid w:val="0"/>
          <w:sz w:val="20"/>
        </w:rPr>
        <w:t xml:space="preserve"> </w:t>
      </w:r>
      <w:r w:rsidR="00FA68F4" w:rsidRPr="0005214A">
        <w:rPr>
          <w:rFonts w:ascii="Arial" w:hAnsi="Arial" w:cs="Arial"/>
          <w:snapToGrid w:val="0"/>
          <w:sz w:val="20"/>
        </w:rPr>
        <w:t>€/000</w:t>
      </w:r>
      <w:r w:rsidRPr="00F9469D">
        <w:rPr>
          <w:rFonts w:ascii="Arial" w:hAnsi="Arial" w:cs="Arial"/>
          <w:snapToGrid w:val="0"/>
          <w:sz w:val="20"/>
        </w:rPr>
        <w:t xml:space="preserve"> per contributi TPL anno 2018 ed  48.259 </w:t>
      </w:r>
      <w:r w:rsidR="00FA68F4" w:rsidRPr="0005214A">
        <w:rPr>
          <w:rFonts w:ascii="Arial" w:hAnsi="Arial" w:cs="Arial"/>
          <w:snapToGrid w:val="0"/>
          <w:sz w:val="20"/>
        </w:rPr>
        <w:t>€/000</w:t>
      </w:r>
      <w:r w:rsidRPr="00F9469D">
        <w:rPr>
          <w:rFonts w:ascii="Arial" w:hAnsi="Arial" w:cs="Arial"/>
          <w:snapToGrid w:val="0"/>
          <w:sz w:val="20"/>
        </w:rPr>
        <w:t xml:space="preserve"> per contributi TPL 2019, oltre </w:t>
      </w:r>
      <w:r w:rsidR="00FA68F4">
        <w:rPr>
          <w:rFonts w:ascii="Arial" w:hAnsi="Arial" w:cs="Arial"/>
          <w:snapToGrid w:val="0"/>
          <w:sz w:val="20"/>
        </w:rPr>
        <w:t>a</w:t>
      </w:r>
      <w:r w:rsidRPr="00F9469D">
        <w:rPr>
          <w:rFonts w:ascii="Arial" w:hAnsi="Arial" w:cs="Arial"/>
          <w:snapToGrid w:val="0"/>
          <w:sz w:val="20"/>
        </w:rPr>
        <w:t xml:space="preserve"> 13.292 </w:t>
      </w:r>
      <w:r w:rsidR="00FA68F4" w:rsidRPr="0005214A">
        <w:rPr>
          <w:rFonts w:ascii="Arial" w:hAnsi="Arial" w:cs="Arial"/>
          <w:snapToGrid w:val="0"/>
          <w:sz w:val="20"/>
        </w:rPr>
        <w:t>€/000</w:t>
      </w:r>
      <w:r w:rsidRPr="00F9469D">
        <w:rPr>
          <w:rFonts w:ascii="Arial" w:hAnsi="Arial" w:cs="Arial"/>
          <w:snapToGrid w:val="0"/>
          <w:sz w:val="20"/>
        </w:rPr>
        <w:t xml:space="preserve"> quale trasferimenti regionali TPL urbano per il quarto trimestre 2019. Inoltre, la voce comprende crediti per contributo di funzionamento della Holding per circa 1.590 </w:t>
      </w:r>
      <w:r w:rsidR="00FA68F4" w:rsidRPr="0005214A">
        <w:rPr>
          <w:rFonts w:ascii="Arial" w:hAnsi="Arial" w:cs="Arial"/>
          <w:snapToGrid w:val="0"/>
          <w:sz w:val="20"/>
        </w:rPr>
        <w:t>€/000</w:t>
      </w:r>
      <w:r w:rsidRPr="00F9469D">
        <w:rPr>
          <w:rFonts w:ascii="Arial" w:hAnsi="Arial" w:cs="Arial"/>
          <w:snapToGrid w:val="0"/>
          <w:sz w:val="20"/>
        </w:rPr>
        <w:t xml:space="preserve"> relativi agli anni 2018-2019 (rispettivamente, circa 840</w:t>
      </w:r>
      <w:r w:rsidR="00FA68F4">
        <w:rPr>
          <w:rFonts w:ascii="Arial" w:hAnsi="Arial" w:cs="Arial"/>
          <w:snapToGrid w:val="0"/>
          <w:sz w:val="20"/>
        </w:rPr>
        <w:t xml:space="preserve"> </w:t>
      </w:r>
      <w:r w:rsidR="00FA68F4" w:rsidRPr="0005214A">
        <w:rPr>
          <w:rFonts w:ascii="Arial" w:hAnsi="Arial" w:cs="Arial"/>
          <w:snapToGrid w:val="0"/>
          <w:sz w:val="20"/>
        </w:rPr>
        <w:t>€/000</w:t>
      </w:r>
      <w:r w:rsidRPr="00F9469D">
        <w:rPr>
          <w:rFonts w:ascii="Arial" w:hAnsi="Arial" w:cs="Arial"/>
          <w:snapToGrid w:val="0"/>
          <w:sz w:val="20"/>
        </w:rPr>
        <w:t xml:space="preserve"> per 2018</w:t>
      </w:r>
      <w:r w:rsidR="00FA68F4">
        <w:rPr>
          <w:rFonts w:ascii="Arial" w:hAnsi="Arial" w:cs="Arial"/>
          <w:snapToGrid w:val="0"/>
          <w:sz w:val="20"/>
        </w:rPr>
        <w:t xml:space="preserve"> e </w:t>
      </w:r>
      <w:r w:rsidRPr="00F9469D">
        <w:rPr>
          <w:rFonts w:ascii="Arial" w:hAnsi="Arial" w:cs="Arial"/>
          <w:snapToGrid w:val="0"/>
          <w:sz w:val="20"/>
        </w:rPr>
        <w:t>750</w:t>
      </w:r>
      <w:r w:rsidR="00FA68F4">
        <w:rPr>
          <w:rFonts w:ascii="Arial" w:hAnsi="Arial" w:cs="Arial"/>
          <w:snapToGrid w:val="0"/>
          <w:sz w:val="20"/>
        </w:rPr>
        <w:t xml:space="preserve"> </w:t>
      </w:r>
      <w:r w:rsidR="00FA68F4" w:rsidRPr="0005214A">
        <w:rPr>
          <w:rFonts w:ascii="Arial" w:hAnsi="Arial" w:cs="Arial"/>
          <w:snapToGrid w:val="0"/>
          <w:sz w:val="20"/>
        </w:rPr>
        <w:t>€/000</w:t>
      </w:r>
      <w:r w:rsidRPr="00F9469D">
        <w:rPr>
          <w:rFonts w:ascii="Arial" w:hAnsi="Arial" w:cs="Arial"/>
          <w:snapToGrid w:val="0"/>
          <w:sz w:val="20"/>
        </w:rPr>
        <w:t xml:space="preserve"> per il 2019)</w:t>
      </w:r>
      <w:r w:rsidR="00FA68F4">
        <w:rPr>
          <w:rFonts w:ascii="Arial" w:hAnsi="Arial" w:cs="Arial"/>
          <w:snapToGrid w:val="0"/>
          <w:sz w:val="20"/>
        </w:rPr>
        <w:t>.</w:t>
      </w:r>
    </w:p>
    <w:p w14:paraId="6AFA7AAF" w14:textId="77777777" w:rsidR="00F9469D" w:rsidRPr="00F9469D" w:rsidRDefault="00D61033" w:rsidP="00F9469D">
      <w:pPr>
        <w:widowControl w:val="0"/>
        <w:spacing w:before="120" w:after="120"/>
        <w:jc w:val="both"/>
        <w:rPr>
          <w:rFonts w:ascii="Arial" w:hAnsi="Arial" w:cs="Arial"/>
          <w:snapToGrid w:val="0"/>
          <w:sz w:val="20"/>
        </w:rPr>
      </w:pPr>
      <w:r w:rsidRPr="00D61033">
        <w:rPr>
          <w:rFonts w:ascii="Arial" w:hAnsi="Arial" w:cs="Arial"/>
          <w:snapToGrid w:val="0"/>
          <w:sz w:val="20"/>
        </w:rPr>
        <w:t xml:space="preserve">Inoltre, tale voce comprende i crediti vantati dalla ANM verso il Comune di Napoli </w:t>
      </w:r>
      <w:r>
        <w:rPr>
          <w:rFonts w:ascii="Arial" w:hAnsi="Arial" w:cs="Arial"/>
          <w:snapToGrid w:val="0"/>
          <w:sz w:val="20"/>
        </w:rPr>
        <w:t xml:space="preserve">per euro </w:t>
      </w:r>
      <w:r w:rsidR="00F9469D" w:rsidRPr="00F9469D">
        <w:rPr>
          <w:rFonts w:ascii="Arial" w:hAnsi="Arial" w:cs="Arial"/>
          <w:snapToGrid w:val="0"/>
          <w:sz w:val="20"/>
        </w:rPr>
        <w:t xml:space="preserve">25.613 €/000, di cui incassati successivamente alla data di chiusura di bilancio per 8.351 €/000. </w:t>
      </w:r>
    </w:p>
    <w:p w14:paraId="264181AA" w14:textId="77777777" w:rsidR="00F9469D" w:rsidRPr="00F9469D" w:rsidRDefault="00F9469D" w:rsidP="00F9469D">
      <w:pPr>
        <w:widowControl w:val="0"/>
        <w:spacing w:before="120" w:after="120"/>
        <w:jc w:val="both"/>
        <w:rPr>
          <w:rFonts w:ascii="Arial" w:hAnsi="Arial" w:cs="Arial"/>
          <w:snapToGrid w:val="0"/>
          <w:sz w:val="20"/>
        </w:rPr>
      </w:pPr>
      <w:r w:rsidRPr="00F9469D">
        <w:rPr>
          <w:rFonts w:ascii="Arial" w:hAnsi="Arial" w:cs="Arial"/>
          <w:snapToGrid w:val="0"/>
          <w:sz w:val="20"/>
        </w:rPr>
        <w:t xml:space="preserve">Tali crediti sono stati oggetto di svalutazione prudenziale per 5.125 €/000 a causa della mancata riconciliazione con il Comune di Napoli in fase di procedura di concordato e all’atto della riconciliazione delle partite reciproche ai sensi e per le finalità previste dall’art 11 comma 6 lettera </w:t>
      </w:r>
      <w:r w:rsidR="00D61033" w:rsidRPr="00F9469D">
        <w:rPr>
          <w:rFonts w:ascii="Arial" w:hAnsi="Arial" w:cs="Arial"/>
          <w:snapToGrid w:val="0"/>
          <w:sz w:val="20"/>
        </w:rPr>
        <w:t>j) del</w:t>
      </w:r>
      <w:r w:rsidRPr="00F9469D">
        <w:rPr>
          <w:rFonts w:ascii="Arial" w:hAnsi="Arial" w:cs="Arial"/>
          <w:snapToGrid w:val="0"/>
          <w:sz w:val="20"/>
        </w:rPr>
        <w:t xml:space="preserve"> Dlgs n. 118/2011.</w:t>
      </w:r>
    </w:p>
    <w:p w14:paraId="3A18146D" w14:textId="77777777" w:rsidR="00F9469D" w:rsidRPr="00F9469D" w:rsidRDefault="00F9469D" w:rsidP="00F9469D">
      <w:pPr>
        <w:widowControl w:val="0"/>
        <w:spacing w:before="120" w:after="120"/>
        <w:jc w:val="both"/>
        <w:rPr>
          <w:rFonts w:ascii="Arial" w:hAnsi="Arial" w:cs="Arial"/>
          <w:snapToGrid w:val="0"/>
          <w:sz w:val="20"/>
        </w:rPr>
      </w:pPr>
      <w:r w:rsidRPr="00F9469D">
        <w:rPr>
          <w:rFonts w:ascii="Arial" w:hAnsi="Arial" w:cs="Arial"/>
          <w:snapToGrid w:val="0"/>
          <w:sz w:val="20"/>
        </w:rPr>
        <w:t>L’importo della svalutazione include principalmente il credito di 2.067 €/000 per interventi di manutenzione straordinaria sulle Udt della Linea 1, il cui costo sulla base della DGC 551/2014 è a carico del Comune di Napoli e 952 €/000 relativo ai minori importi per manutenzioni straordinarie cicliche linee 1 e 6 presenti nel bilancio comunale rispetto a quanto vantato dall’ANM per l’anno 2018 e 2019. Il Comune non ha avviato ancora le procedure di riconoscimento del debito per tali posizioni, pertanto, non avendo sufficiente certezza in merito all’esigibilità del credito, l’importo è stato prudenzialmente svalutato.</w:t>
      </w:r>
    </w:p>
    <w:p w14:paraId="48D45FE1" w14:textId="77777777" w:rsidR="00D61033" w:rsidRPr="00D61033" w:rsidRDefault="002924A6" w:rsidP="00D61033">
      <w:pPr>
        <w:widowControl w:val="0"/>
        <w:spacing w:before="120" w:after="120"/>
        <w:jc w:val="both"/>
        <w:rPr>
          <w:rFonts w:ascii="Arial" w:hAnsi="Arial" w:cs="Arial"/>
          <w:snapToGrid w:val="0"/>
          <w:sz w:val="20"/>
        </w:rPr>
      </w:pPr>
      <w:r w:rsidRPr="002924A6">
        <w:rPr>
          <w:rFonts w:ascii="Arial" w:hAnsi="Arial" w:cs="Arial"/>
          <w:snapToGrid w:val="0"/>
          <w:sz w:val="20"/>
        </w:rPr>
        <w:lastRenderedPageBreak/>
        <w:t xml:space="preserve">I crediti diretti verso il Comune di Napoli </w:t>
      </w:r>
      <w:r w:rsidR="00D61033">
        <w:rPr>
          <w:rFonts w:ascii="Arial" w:hAnsi="Arial" w:cs="Arial"/>
          <w:snapToGrid w:val="0"/>
          <w:sz w:val="20"/>
        </w:rPr>
        <w:t xml:space="preserve">vantatati da ANM </w:t>
      </w:r>
      <w:r w:rsidR="00D61033" w:rsidRPr="00D61033">
        <w:rPr>
          <w:rFonts w:ascii="Arial" w:hAnsi="Arial" w:cs="Arial"/>
          <w:snapToGrid w:val="0"/>
          <w:sz w:val="20"/>
        </w:rPr>
        <w:t xml:space="preserve">si riferiscono principalmente ad interventi manutenzione straordinaria su beni di proprietà del Comune di Napoli e finanziati dal Comune con apposita delibera. </w:t>
      </w:r>
      <w:r w:rsidR="0008614F" w:rsidRPr="00D61033">
        <w:rPr>
          <w:rFonts w:ascii="Arial" w:hAnsi="Arial" w:cs="Arial"/>
          <w:snapToGrid w:val="0"/>
          <w:sz w:val="20"/>
        </w:rPr>
        <w:t>Inoltre,</w:t>
      </w:r>
      <w:r w:rsidR="00D61033" w:rsidRPr="00D61033">
        <w:rPr>
          <w:rFonts w:ascii="Arial" w:hAnsi="Arial" w:cs="Arial"/>
          <w:snapToGrid w:val="0"/>
          <w:sz w:val="20"/>
        </w:rPr>
        <w:t xml:space="preserve"> sono compresi in tale voce importi residui dei corrispettivi TPL da contratto di servizio riferiti ad anno antecedenti dicembre 2014 (compresi importi riferiti ai servizi minimi TPL a carico della Regione liquidati sulla base </w:t>
      </w:r>
      <w:r w:rsidR="0008614F" w:rsidRPr="00D61033">
        <w:rPr>
          <w:rFonts w:ascii="Arial" w:hAnsi="Arial" w:cs="Arial"/>
          <w:snapToGrid w:val="0"/>
          <w:sz w:val="20"/>
        </w:rPr>
        <w:t>delle sentenze</w:t>
      </w:r>
      <w:r w:rsidR="00D61033" w:rsidRPr="00D61033">
        <w:rPr>
          <w:rFonts w:ascii="Arial" w:hAnsi="Arial" w:cs="Arial"/>
          <w:snapToGrid w:val="0"/>
          <w:sz w:val="20"/>
        </w:rPr>
        <w:t xml:space="preserve"> favorevoli all’azienda). Nel 2014 la gestione del contratto di </w:t>
      </w:r>
      <w:r w:rsidR="0008614F" w:rsidRPr="00D61033">
        <w:rPr>
          <w:rFonts w:ascii="Arial" w:hAnsi="Arial" w:cs="Arial"/>
          <w:snapToGrid w:val="0"/>
          <w:sz w:val="20"/>
        </w:rPr>
        <w:t>servizio</w:t>
      </w:r>
      <w:r w:rsidR="00D61033" w:rsidRPr="00D61033">
        <w:rPr>
          <w:rFonts w:ascii="Arial" w:hAnsi="Arial" w:cs="Arial"/>
          <w:snapToGrid w:val="0"/>
          <w:sz w:val="20"/>
        </w:rPr>
        <w:t xml:space="preserve"> e relativi incassi è stata avocata dalla capogruppo Napoli Holding. Il 22/12/2014 infatti è stato registrato il nuovo contratto per la gestione del TPL in forza del D.C.C. n. 36 del 29 luglio 2013 e successiva D.G.C. n. 1095 del 31 dicembre 2013, con cui il Comune ha attribuito alla Napoli Holding S.r.l. le funzioni di Agenzia per la Mobilità sostenibile, fermo restando in capo al Comune di Napoli le funzioni di programmazione e indirizzo strategico.</w:t>
      </w:r>
    </w:p>
    <w:p w14:paraId="166F231E" w14:textId="77777777" w:rsidR="00D61033" w:rsidRDefault="00D61033" w:rsidP="00D61033">
      <w:pPr>
        <w:widowControl w:val="0"/>
        <w:spacing w:before="120" w:after="120"/>
        <w:jc w:val="both"/>
        <w:rPr>
          <w:rFonts w:ascii="Arial" w:hAnsi="Arial" w:cs="Arial"/>
          <w:snapToGrid w:val="0"/>
          <w:sz w:val="20"/>
        </w:rPr>
      </w:pPr>
      <w:r w:rsidRPr="00D61033">
        <w:rPr>
          <w:rFonts w:ascii="Arial" w:hAnsi="Arial" w:cs="Arial"/>
          <w:snapToGrid w:val="0"/>
          <w:sz w:val="20"/>
        </w:rPr>
        <w:t>Tra le funzioni della predetta agenzia vi sono le funzioni amministrative, già di competenza del Comune di Napoli, in materia di TPL, e di conseguenza: la competenza per la redazione e stipula dei contratti di servizio; la gestione, a seguito di trasferimento in conto esercizio, delle previste risorse a carico del Comune di Napoli per l’espletamento delle funzioni assegnate; la gestione, per assegnazione in titolarità, delle risorse stanziate dalla Regione Campania per il finanziamento dei cd. “servizi minimi di TPL”.</w:t>
      </w:r>
    </w:p>
    <w:p w14:paraId="40A2EA59" w14:textId="77777777" w:rsidR="002924A6" w:rsidRPr="00D61033" w:rsidRDefault="00D61033" w:rsidP="00D61033">
      <w:pPr>
        <w:widowControl w:val="0"/>
        <w:spacing w:before="120" w:after="120"/>
        <w:jc w:val="both"/>
        <w:rPr>
          <w:rFonts w:ascii="Arial" w:hAnsi="Arial" w:cs="Arial"/>
          <w:snapToGrid w:val="0"/>
          <w:sz w:val="20"/>
        </w:rPr>
      </w:pPr>
      <w:r w:rsidRPr="00D61033">
        <w:rPr>
          <w:rFonts w:ascii="Arial" w:hAnsi="Arial" w:cs="Arial"/>
          <w:snapToGrid w:val="0"/>
          <w:sz w:val="20"/>
        </w:rPr>
        <w:t>Tale credito</w:t>
      </w:r>
      <w:r w:rsidR="002924A6" w:rsidRPr="00D61033">
        <w:rPr>
          <w:rFonts w:ascii="Arial" w:hAnsi="Arial" w:cs="Arial"/>
          <w:snapToGrid w:val="0"/>
          <w:sz w:val="20"/>
        </w:rPr>
        <w:t xml:space="preserve"> è composto principalmente da:</w:t>
      </w:r>
    </w:p>
    <w:p w14:paraId="450537DE"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riaddebito costi manutentivi per potenziamento linea 1 Metropolitana di Napoli da DGC  551/2014 per 2.083 €/000 relative all’avanzamento dei lavori dal 2014 al 2017;</w:t>
      </w:r>
    </w:p>
    <w:p w14:paraId="743D09D3"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addebito costi per 863 €/000 ai sensi della delibera 439/2015, che ha garantito copertura dei costi sostenuti nell’esercizio per gli interventi di manutenzione straordinaria delle vetture Funicolare Chiaia;</w:t>
      </w:r>
    </w:p>
    <w:p w14:paraId="64AEDD1C"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Crediti maturati per 4.883 €/000 relativi alla fatturazione di importi inerenti i lavori e gli interventi, volti ad elevare il livello di sicurezza del trasporto pubblico locale (Delibera G.C. di Napoli n. 475/2011); tali interventi sono finanziati con contributi del Ministero Infrastrutture e Trasporti e ANM risulta soggetto attuatore dell’investimento giusta convenzione stipulata con il Comune di Napoli. Tali importi sono stati incassati a gennaio 2020;</w:t>
      </w:r>
    </w:p>
    <w:p w14:paraId="236565F2"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Saldo progetto ammodernamento Funicolare di Chiaia per 1.488 €/000;</w:t>
      </w:r>
    </w:p>
    <w:p w14:paraId="0404C88A"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Saldo progetto Funicolare di Montesanto per 279 €/000;</w:t>
      </w:r>
    </w:p>
    <w:p w14:paraId="468DFE85"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Compenso comm.  alta vigilanza 9 €/000 e rimborso oneri straordinari ascensori 11 €/000;</w:t>
      </w:r>
    </w:p>
    <w:p w14:paraId="506A0A7C"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Progetto reingegnerizzazione della flotta ANM per il quale Comune di Napoli ha assegnato ad ANM, con Delibera di Giunta 172/2013 per 1.041 €/000;</w:t>
      </w:r>
    </w:p>
    <w:p w14:paraId="0F210C8B"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Progetto ZTL centro antico: trattasi di un progetto co-finanziato dal Ministero dell’Ambiente con atto integrativo del 28/11/2011 all’Accordo di Programma tra Ministero dell’Ambiente e Comune di Napoli e relativo all’acquisto di n. 10 bus a basso impatto ambientale. Con Delibera di Giunta n°121/2013, con un residuo da incassare al 31 dicembre 2016 di 200 €/000;</w:t>
      </w:r>
    </w:p>
    <w:p w14:paraId="01EAEDA4"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riaddebito manutenzioni straordinarie 2017 sulla base del DGC 683/2017 per 2.459 €/000; il credito è stato incassato nel mese di ottobre 2020</w:t>
      </w:r>
      <w:r w:rsidR="00FA68F4">
        <w:rPr>
          <w:rFonts w:ascii="Arial" w:hAnsi="Arial" w:cs="Arial"/>
          <w:snapToGrid w:val="0"/>
          <w:sz w:val="20"/>
        </w:rPr>
        <w:t>;</w:t>
      </w:r>
    </w:p>
    <w:p w14:paraId="2CAB6873"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riaddebito manutenzioni straordinarie 2018 sulla base del DGC 683/2017 per 2.459 €/000, svalutato per 237 €/000;</w:t>
      </w:r>
    </w:p>
    <w:p w14:paraId="46D2BC47"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riaddebito manutenzioni straordinarie 2019 sulla base del DGC 683/2017 per 2.459 €/000, svalutato per 715 €/000;</w:t>
      </w:r>
    </w:p>
    <w:p w14:paraId="1D8DB8A0"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 xml:space="preserve"> 2.020 €/000 per prestazioni afferenti alla gestione del servizio di manutenzione e gestione segnaletica orizzontale e verticale sul territorio comunale;</w:t>
      </w:r>
    </w:p>
    <w:p w14:paraId="60F09AE1"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 xml:space="preserve">860 €/000 per prestazioni afferenti al servizio di manutenzione e gestione impianti controllo </w:t>
      </w:r>
      <w:r w:rsidRPr="00D61033">
        <w:rPr>
          <w:rFonts w:ascii="Arial" w:hAnsi="Arial" w:cs="Arial"/>
          <w:snapToGrid w:val="0"/>
          <w:sz w:val="20"/>
        </w:rPr>
        <w:lastRenderedPageBreak/>
        <w:t>traffico sul territorio comunale; il credito è stato incassato per la quota corrispondente ai primi 5 bimestri (615 €/000,)</w:t>
      </w:r>
    </w:p>
    <w:p w14:paraId="097291E4"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Differenze contratto di segnaletica anni precedenti 337 €/000, che risulta completamente svalutato;</w:t>
      </w:r>
    </w:p>
    <w:p w14:paraId="0B539DBD"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Credito per residui non versati da parte della Regione Campania relativi alle premialità 2012 e 2013 ex DGR 503/2012 per 2.506 €/000;</w:t>
      </w:r>
    </w:p>
    <w:p w14:paraId="21D72132" w14:textId="50BFD913"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Credito per quota residua fatture emesse corrispettivi regionali 2013 per 530 €/000; il credito è stato incassato nel mese di novembre 2020 per 350 €/000</w:t>
      </w:r>
      <w:r w:rsidR="00FA68F4">
        <w:rPr>
          <w:rFonts w:ascii="Arial" w:hAnsi="Arial" w:cs="Arial"/>
          <w:snapToGrid w:val="0"/>
          <w:sz w:val="20"/>
        </w:rPr>
        <w:t>;</w:t>
      </w:r>
    </w:p>
    <w:p w14:paraId="55214438"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Credito per servizi aggiuntivi ed integrativi in occasione di altri eventi e festività anni 2011-2014 rispettivamente per 90 €/000 e 81 €/000;</w:t>
      </w:r>
    </w:p>
    <w:p w14:paraId="7842F600"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Crediti per il riaddebito del costo del personale di ANM presso il Comune di Napoli per circa 288 €/000;</w:t>
      </w:r>
    </w:p>
    <w:p w14:paraId="3BE46027" w14:textId="77777777" w:rsidR="00D61033" w:rsidRPr="00D61033" w:rsidRDefault="00D61033" w:rsidP="0049512E">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 xml:space="preserve"> Crediti per lavori di segnaletica e per riaddebito costi del personale distaccato nei confronti delle Municipalità per 251 €/000;</w:t>
      </w:r>
    </w:p>
    <w:p w14:paraId="43497F46" w14:textId="77777777" w:rsidR="00FA68F4" w:rsidRDefault="00D61033" w:rsidP="00FA68F4">
      <w:pPr>
        <w:widowControl w:val="0"/>
        <w:numPr>
          <w:ilvl w:val="1"/>
          <w:numId w:val="27"/>
        </w:numPr>
        <w:spacing w:before="120" w:after="120"/>
        <w:ind w:left="426"/>
        <w:jc w:val="both"/>
        <w:rPr>
          <w:rFonts w:ascii="Arial" w:hAnsi="Arial" w:cs="Arial"/>
          <w:snapToGrid w:val="0"/>
          <w:sz w:val="20"/>
        </w:rPr>
      </w:pPr>
      <w:r w:rsidRPr="00D61033">
        <w:rPr>
          <w:rFonts w:ascii="Arial" w:hAnsi="Arial" w:cs="Arial"/>
          <w:snapToGrid w:val="0"/>
          <w:sz w:val="20"/>
        </w:rPr>
        <w:t>Lavori di adeguamento capolinea piazzale Tecchio come da DGC 52/2013 per 101 €/000</w:t>
      </w:r>
      <w:r w:rsidR="00FA68F4">
        <w:rPr>
          <w:rFonts w:ascii="Arial" w:hAnsi="Arial" w:cs="Arial"/>
          <w:snapToGrid w:val="0"/>
          <w:sz w:val="20"/>
        </w:rPr>
        <w:t>.</w:t>
      </w:r>
    </w:p>
    <w:p w14:paraId="57CE5305" w14:textId="77777777" w:rsidR="001A1C9D" w:rsidRPr="00A74CC0" w:rsidRDefault="001A1C9D" w:rsidP="00526C0B">
      <w:pPr>
        <w:widowControl w:val="0"/>
        <w:spacing w:before="120" w:after="120"/>
        <w:jc w:val="both"/>
        <w:rPr>
          <w:rFonts w:ascii="Arial" w:hAnsi="Arial" w:cs="Arial"/>
          <w:snapToGrid w:val="0"/>
          <w:sz w:val="20"/>
          <w:u w:val="single"/>
        </w:rPr>
      </w:pPr>
      <w:r w:rsidRPr="00A74CC0">
        <w:rPr>
          <w:rFonts w:ascii="Arial" w:hAnsi="Arial" w:cs="Arial"/>
          <w:b/>
          <w:snapToGrid w:val="0"/>
          <w:sz w:val="20"/>
          <w:u w:val="single"/>
        </w:rPr>
        <w:t>Crediti verso imprese sottoposte al controllo delle controllanti</w:t>
      </w:r>
      <w:r w:rsidRPr="00A74CC0">
        <w:rPr>
          <w:rFonts w:ascii="Arial" w:hAnsi="Arial" w:cs="Arial"/>
          <w:snapToGrid w:val="0"/>
          <w:sz w:val="20"/>
          <w:u w:val="single"/>
        </w:rPr>
        <w:t xml:space="preserve"> </w:t>
      </w:r>
    </w:p>
    <w:p w14:paraId="2153DDF4" w14:textId="1A0D3404" w:rsidR="00E7386A" w:rsidRDefault="00FA68F4" w:rsidP="00526C0B">
      <w:pPr>
        <w:widowControl w:val="0"/>
        <w:spacing w:before="120" w:after="120"/>
        <w:jc w:val="both"/>
        <w:rPr>
          <w:rFonts w:ascii="Arial" w:hAnsi="Arial" w:cs="Arial"/>
          <w:snapToGrid w:val="0"/>
          <w:sz w:val="20"/>
        </w:rPr>
      </w:pPr>
      <w:r>
        <w:rPr>
          <w:rFonts w:ascii="Arial" w:hAnsi="Arial" w:cs="Arial"/>
          <w:snapToGrid w:val="0"/>
          <w:sz w:val="20"/>
        </w:rPr>
        <w:t>Di seguito si riporta il dettaglio dei crediti verso imprese sottoposte al controllo delle controllanti vantati</w:t>
      </w:r>
      <w:r w:rsidR="008B4CEC">
        <w:rPr>
          <w:rFonts w:ascii="Arial" w:hAnsi="Arial" w:cs="Arial"/>
          <w:snapToGrid w:val="0"/>
          <w:sz w:val="20"/>
        </w:rPr>
        <w:t xml:space="preserve"> dalla controllata ANM (euro migliaia)</w:t>
      </w:r>
      <w:r w:rsidR="00E7386A" w:rsidRPr="00A74CC0">
        <w:rPr>
          <w:rFonts w:ascii="Arial" w:hAnsi="Arial" w:cs="Arial"/>
          <w:snapToGrid w:val="0"/>
          <w:sz w:val="20"/>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126"/>
        <w:gridCol w:w="1984"/>
      </w:tblGrid>
      <w:tr w:rsidR="008B4CEC" w:rsidRPr="001629CA" w14:paraId="50E12121" w14:textId="77777777" w:rsidTr="00317CC5">
        <w:tc>
          <w:tcPr>
            <w:tcW w:w="4395" w:type="dxa"/>
            <w:shd w:val="clear" w:color="auto" w:fill="auto"/>
          </w:tcPr>
          <w:p w14:paraId="2976AC23" w14:textId="77777777" w:rsidR="008B4CEC" w:rsidRPr="001629CA" w:rsidRDefault="008B4CEC" w:rsidP="001629CA">
            <w:pPr>
              <w:pStyle w:val="Default"/>
              <w:jc w:val="center"/>
              <w:rPr>
                <w:rFonts w:ascii="Arial" w:hAnsi="Arial" w:cs="Arial"/>
                <w:b/>
                <w:snapToGrid w:val="0"/>
                <w:color w:val="auto"/>
                <w:sz w:val="20"/>
              </w:rPr>
            </w:pPr>
            <w:r w:rsidRPr="001629CA">
              <w:rPr>
                <w:rFonts w:ascii="Arial" w:hAnsi="Arial" w:cs="Arial"/>
                <w:b/>
                <w:snapToGrid w:val="0"/>
                <w:color w:val="auto"/>
                <w:sz w:val="20"/>
              </w:rPr>
              <w:t>Societa’</w:t>
            </w:r>
          </w:p>
        </w:tc>
        <w:tc>
          <w:tcPr>
            <w:tcW w:w="2126" w:type="dxa"/>
            <w:shd w:val="clear" w:color="auto" w:fill="auto"/>
          </w:tcPr>
          <w:p w14:paraId="48B69407" w14:textId="77777777" w:rsidR="008B4CEC" w:rsidRPr="001629CA" w:rsidRDefault="008B4CEC" w:rsidP="001629CA">
            <w:pPr>
              <w:pStyle w:val="Default"/>
              <w:jc w:val="center"/>
              <w:rPr>
                <w:rFonts w:ascii="Arial" w:hAnsi="Arial" w:cs="Arial"/>
                <w:b/>
                <w:snapToGrid w:val="0"/>
                <w:color w:val="auto"/>
                <w:sz w:val="20"/>
              </w:rPr>
            </w:pPr>
            <w:r w:rsidRPr="001629CA">
              <w:rPr>
                <w:rFonts w:ascii="Arial" w:hAnsi="Arial" w:cs="Arial"/>
                <w:b/>
                <w:snapToGrid w:val="0"/>
                <w:color w:val="auto"/>
                <w:sz w:val="20"/>
              </w:rPr>
              <w:t>Esercizio 201</w:t>
            </w:r>
            <w:r w:rsidR="00317CC5">
              <w:rPr>
                <w:rFonts w:ascii="Arial" w:hAnsi="Arial" w:cs="Arial"/>
                <w:b/>
                <w:snapToGrid w:val="0"/>
                <w:color w:val="auto"/>
                <w:sz w:val="20"/>
              </w:rPr>
              <w:t>9</w:t>
            </w:r>
          </w:p>
        </w:tc>
        <w:tc>
          <w:tcPr>
            <w:tcW w:w="1984" w:type="dxa"/>
            <w:shd w:val="clear" w:color="auto" w:fill="auto"/>
          </w:tcPr>
          <w:p w14:paraId="1F59BE2A" w14:textId="77777777" w:rsidR="008B4CEC" w:rsidRPr="001629CA" w:rsidRDefault="008B4CEC" w:rsidP="001629CA">
            <w:pPr>
              <w:pStyle w:val="Default"/>
              <w:jc w:val="center"/>
              <w:rPr>
                <w:rFonts w:ascii="Arial" w:hAnsi="Arial" w:cs="Arial"/>
                <w:b/>
                <w:snapToGrid w:val="0"/>
                <w:color w:val="auto"/>
                <w:sz w:val="20"/>
              </w:rPr>
            </w:pPr>
            <w:r w:rsidRPr="001629CA">
              <w:rPr>
                <w:rFonts w:ascii="Arial" w:hAnsi="Arial" w:cs="Arial"/>
                <w:b/>
                <w:snapToGrid w:val="0"/>
                <w:color w:val="auto"/>
                <w:sz w:val="20"/>
              </w:rPr>
              <w:t>Esercizio 201</w:t>
            </w:r>
            <w:r w:rsidR="00317CC5">
              <w:rPr>
                <w:rFonts w:ascii="Arial" w:hAnsi="Arial" w:cs="Arial"/>
                <w:b/>
                <w:snapToGrid w:val="0"/>
                <w:color w:val="auto"/>
                <w:sz w:val="20"/>
              </w:rPr>
              <w:t>8</w:t>
            </w:r>
          </w:p>
        </w:tc>
      </w:tr>
      <w:tr w:rsidR="00317CC5" w:rsidRPr="001629CA" w14:paraId="168FA91C" w14:textId="77777777" w:rsidTr="00317CC5">
        <w:tc>
          <w:tcPr>
            <w:tcW w:w="4395" w:type="dxa"/>
            <w:shd w:val="clear" w:color="auto" w:fill="auto"/>
          </w:tcPr>
          <w:p w14:paraId="67C0E0F4" w14:textId="77777777" w:rsidR="00317CC5" w:rsidRPr="001629CA" w:rsidRDefault="00317CC5" w:rsidP="00317CC5">
            <w:pPr>
              <w:pStyle w:val="Default"/>
              <w:rPr>
                <w:rFonts w:ascii="Arial" w:hAnsi="Arial" w:cs="Arial"/>
                <w:snapToGrid w:val="0"/>
                <w:color w:val="auto"/>
                <w:sz w:val="20"/>
              </w:rPr>
            </w:pPr>
            <w:r w:rsidRPr="001629CA">
              <w:rPr>
                <w:rFonts w:ascii="Arial" w:hAnsi="Arial" w:cs="Arial"/>
                <w:snapToGrid w:val="0"/>
                <w:color w:val="auto"/>
                <w:sz w:val="20"/>
              </w:rPr>
              <w:t>Asia</w:t>
            </w:r>
          </w:p>
        </w:tc>
        <w:tc>
          <w:tcPr>
            <w:tcW w:w="2126" w:type="dxa"/>
            <w:shd w:val="clear" w:color="auto" w:fill="auto"/>
          </w:tcPr>
          <w:p w14:paraId="6D82D50B" w14:textId="77777777" w:rsidR="00317CC5" w:rsidRPr="001629CA" w:rsidRDefault="00317CC5" w:rsidP="00317CC5">
            <w:pPr>
              <w:pStyle w:val="Default"/>
              <w:jc w:val="right"/>
              <w:rPr>
                <w:rFonts w:ascii="Arial" w:hAnsi="Arial" w:cs="Arial"/>
                <w:snapToGrid w:val="0"/>
                <w:color w:val="auto"/>
                <w:sz w:val="20"/>
              </w:rPr>
            </w:pPr>
            <w:r w:rsidRPr="00317CC5">
              <w:rPr>
                <w:rFonts w:ascii="Arial" w:hAnsi="Arial" w:cs="Arial"/>
                <w:snapToGrid w:val="0"/>
                <w:color w:val="auto"/>
                <w:sz w:val="20"/>
              </w:rPr>
              <w:t>154</w:t>
            </w:r>
          </w:p>
        </w:tc>
        <w:tc>
          <w:tcPr>
            <w:tcW w:w="1984" w:type="dxa"/>
            <w:shd w:val="clear" w:color="auto" w:fill="auto"/>
          </w:tcPr>
          <w:p w14:paraId="4F33F01F" w14:textId="77777777" w:rsidR="00317CC5" w:rsidRPr="001629CA" w:rsidRDefault="00317CC5" w:rsidP="00317CC5">
            <w:pPr>
              <w:pStyle w:val="Default"/>
              <w:jc w:val="right"/>
              <w:rPr>
                <w:rFonts w:ascii="Arial" w:hAnsi="Arial" w:cs="Arial"/>
                <w:snapToGrid w:val="0"/>
                <w:color w:val="auto"/>
                <w:sz w:val="20"/>
              </w:rPr>
            </w:pPr>
            <w:r w:rsidRPr="00317CC5">
              <w:rPr>
                <w:rFonts w:ascii="Arial" w:hAnsi="Arial" w:cs="Arial"/>
                <w:snapToGrid w:val="0"/>
                <w:color w:val="auto"/>
                <w:sz w:val="20"/>
              </w:rPr>
              <w:t>123</w:t>
            </w:r>
          </w:p>
        </w:tc>
      </w:tr>
      <w:tr w:rsidR="00317CC5" w:rsidRPr="001629CA" w14:paraId="29126B68" w14:textId="77777777" w:rsidTr="00317CC5">
        <w:tc>
          <w:tcPr>
            <w:tcW w:w="4395" w:type="dxa"/>
            <w:shd w:val="clear" w:color="auto" w:fill="auto"/>
          </w:tcPr>
          <w:p w14:paraId="20575477" w14:textId="77777777" w:rsidR="00317CC5" w:rsidRPr="001629CA" w:rsidRDefault="00317CC5" w:rsidP="00317CC5">
            <w:pPr>
              <w:pStyle w:val="Default"/>
              <w:rPr>
                <w:rFonts w:ascii="Arial" w:hAnsi="Arial" w:cs="Arial"/>
                <w:snapToGrid w:val="0"/>
                <w:color w:val="auto"/>
                <w:sz w:val="20"/>
              </w:rPr>
            </w:pPr>
            <w:r w:rsidRPr="001629CA">
              <w:rPr>
                <w:rFonts w:ascii="Arial" w:hAnsi="Arial" w:cs="Arial"/>
                <w:snapToGrid w:val="0"/>
                <w:color w:val="auto"/>
                <w:sz w:val="20"/>
              </w:rPr>
              <w:t>A.B.C</w:t>
            </w:r>
          </w:p>
        </w:tc>
        <w:tc>
          <w:tcPr>
            <w:tcW w:w="2126" w:type="dxa"/>
            <w:shd w:val="clear" w:color="auto" w:fill="auto"/>
          </w:tcPr>
          <w:p w14:paraId="51502309" w14:textId="77777777" w:rsidR="00317CC5" w:rsidRPr="001629CA" w:rsidRDefault="00317CC5" w:rsidP="00317CC5">
            <w:pPr>
              <w:pStyle w:val="Default"/>
              <w:jc w:val="right"/>
              <w:rPr>
                <w:rFonts w:ascii="Arial" w:hAnsi="Arial" w:cs="Arial"/>
                <w:snapToGrid w:val="0"/>
                <w:color w:val="auto"/>
                <w:sz w:val="20"/>
              </w:rPr>
            </w:pPr>
            <w:r w:rsidRPr="00317CC5">
              <w:rPr>
                <w:rFonts w:ascii="Arial" w:hAnsi="Arial" w:cs="Arial"/>
                <w:snapToGrid w:val="0"/>
                <w:color w:val="auto"/>
                <w:sz w:val="20"/>
              </w:rPr>
              <w:t>3</w:t>
            </w:r>
          </w:p>
        </w:tc>
        <w:tc>
          <w:tcPr>
            <w:tcW w:w="1984" w:type="dxa"/>
            <w:shd w:val="clear" w:color="auto" w:fill="auto"/>
          </w:tcPr>
          <w:p w14:paraId="0A5CE6E4" w14:textId="77777777" w:rsidR="00317CC5" w:rsidRPr="001629CA" w:rsidRDefault="00317CC5" w:rsidP="00317CC5">
            <w:pPr>
              <w:pStyle w:val="Default"/>
              <w:jc w:val="right"/>
              <w:rPr>
                <w:rFonts w:ascii="Arial" w:hAnsi="Arial" w:cs="Arial"/>
                <w:snapToGrid w:val="0"/>
                <w:color w:val="auto"/>
                <w:sz w:val="20"/>
              </w:rPr>
            </w:pPr>
            <w:r w:rsidRPr="00317CC5">
              <w:rPr>
                <w:rFonts w:ascii="Arial" w:hAnsi="Arial" w:cs="Arial"/>
                <w:snapToGrid w:val="0"/>
                <w:color w:val="auto"/>
                <w:sz w:val="20"/>
              </w:rPr>
              <w:t>2</w:t>
            </w:r>
          </w:p>
        </w:tc>
      </w:tr>
      <w:tr w:rsidR="00317CC5" w:rsidRPr="001629CA" w14:paraId="432803F3" w14:textId="77777777" w:rsidTr="00317CC5">
        <w:tc>
          <w:tcPr>
            <w:tcW w:w="4395" w:type="dxa"/>
            <w:shd w:val="clear" w:color="auto" w:fill="auto"/>
          </w:tcPr>
          <w:p w14:paraId="42AF3F8F" w14:textId="77777777" w:rsidR="00317CC5" w:rsidRPr="001629CA" w:rsidRDefault="00317CC5" w:rsidP="00317CC5">
            <w:pPr>
              <w:pStyle w:val="Default"/>
              <w:rPr>
                <w:rFonts w:ascii="Arial" w:hAnsi="Arial" w:cs="Arial"/>
                <w:snapToGrid w:val="0"/>
                <w:color w:val="auto"/>
                <w:sz w:val="20"/>
              </w:rPr>
            </w:pPr>
            <w:r w:rsidRPr="001629CA">
              <w:rPr>
                <w:rFonts w:ascii="Arial" w:hAnsi="Arial" w:cs="Arial"/>
                <w:snapToGrid w:val="0"/>
                <w:color w:val="auto"/>
                <w:sz w:val="20"/>
              </w:rPr>
              <w:t>Napoli Sociale</w:t>
            </w:r>
          </w:p>
        </w:tc>
        <w:tc>
          <w:tcPr>
            <w:tcW w:w="2126" w:type="dxa"/>
            <w:shd w:val="clear" w:color="auto" w:fill="auto"/>
          </w:tcPr>
          <w:p w14:paraId="5826356D" w14:textId="77777777" w:rsidR="00317CC5" w:rsidRPr="001629CA" w:rsidRDefault="00317CC5" w:rsidP="00317CC5">
            <w:pPr>
              <w:pStyle w:val="Default"/>
              <w:jc w:val="right"/>
              <w:rPr>
                <w:rFonts w:ascii="Arial" w:hAnsi="Arial" w:cs="Arial"/>
                <w:snapToGrid w:val="0"/>
                <w:color w:val="auto"/>
                <w:sz w:val="20"/>
              </w:rPr>
            </w:pPr>
            <w:r w:rsidRPr="00317CC5">
              <w:rPr>
                <w:rFonts w:ascii="Arial" w:hAnsi="Arial" w:cs="Arial"/>
                <w:snapToGrid w:val="0"/>
                <w:color w:val="auto"/>
                <w:sz w:val="20"/>
              </w:rPr>
              <w:t>13</w:t>
            </w:r>
          </w:p>
        </w:tc>
        <w:tc>
          <w:tcPr>
            <w:tcW w:w="1984" w:type="dxa"/>
            <w:shd w:val="clear" w:color="auto" w:fill="auto"/>
          </w:tcPr>
          <w:p w14:paraId="4CDC86B1" w14:textId="77777777" w:rsidR="00317CC5" w:rsidRPr="001629CA" w:rsidRDefault="00317CC5" w:rsidP="00317CC5">
            <w:pPr>
              <w:pStyle w:val="Default"/>
              <w:jc w:val="right"/>
              <w:rPr>
                <w:rFonts w:ascii="Arial" w:hAnsi="Arial" w:cs="Arial"/>
                <w:snapToGrid w:val="0"/>
                <w:color w:val="auto"/>
                <w:sz w:val="20"/>
              </w:rPr>
            </w:pPr>
            <w:r w:rsidRPr="00317CC5">
              <w:rPr>
                <w:rFonts w:ascii="Arial" w:hAnsi="Arial" w:cs="Arial"/>
                <w:snapToGrid w:val="0"/>
                <w:color w:val="auto"/>
                <w:sz w:val="20"/>
              </w:rPr>
              <w:t>13</w:t>
            </w:r>
          </w:p>
        </w:tc>
      </w:tr>
      <w:tr w:rsidR="00317CC5" w:rsidRPr="001629CA" w14:paraId="42C8CBC7" w14:textId="77777777" w:rsidTr="00317CC5">
        <w:tc>
          <w:tcPr>
            <w:tcW w:w="4395" w:type="dxa"/>
            <w:shd w:val="clear" w:color="auto" w:fill="auto"/>
          </w:tcPr>
          <w:p w14:paraId="712C5E56" w14:textId="77777777" w:rsidR="00317CC5" w:rsidRPr="001629CA" w:rsidRDefault="00317CC5" w:rsidP="00317CC5">
            <w:pPr>
              <w:pStyle w:val="Default"/>
              <w:rPr>
                <w:rFonts w:ascii="Arial" w:hAnsi="Arial" w:cs="Arial"/>
                <w:snapToGrid w:val="0"/>
                <w:color w:val="auto"/>
                <w:sz w:val="20"/>
              </w:rPr>
            </w:pPr>
            <w:r w:rsidRPr="001629CA">
              <w:rPr>
                <w:rFonts w:ascii="Arial" w:hAnsi="Arial" w:cs="Arial"/>
                <w:snapToGrid w:val="0"/>
                <w:color w:val="auto"/>
                <w:sz w:val="20"/>
              </w:rPr>
              <w:t>Terme di Agnano</w:t>
            </w:r>
          </w:p>
        </w:tc>
        <w:tc>
          <w:tcPr>
            <w:tcW w:w="2126" w:type="dxa"/>
            <w:shd w:val="clear" w:color="auto" w:fill="auto"/>
          </w:tcPr>
          <w:p w14:paraId="4E2BFA02" w14:textId="77777777" w:rsidR="00317CC5" w:rsidRPr="001629CA" w:rsidRDefault="00317CC5" w:rsidP="00317CC5">
            <w:pPr>
              <w:pStyle w:val="Default"/>
              <w:jc w:val="right"/>
              <w:rPr>
                <w:rFonts w:ascii="Arial" w:hAnsi="Arial" w:cs="Arial"/>
                <w:snapToGrid w:val="0"/>
                <w:color w:val="auto"/>
                <w:sz w:val="20"/>
              </w:rPr>
            </w:pPr>
            <w:r w:rsidRPr="00317CC5">
              <w:rPr>
                <w:rFonts w:ascii="Arial" w:hAnsi="Arial" w:cs="Arial"/>
                <w:snapToGrid w:val="0"/>
                <w:color w:val="auto"/>
                <w:sz w:val="20"/>
              </w:rPr>
              <w:t>20</w:t>
            </w:r>
          </w:p>
        </w:tc>
        <w:tc>
          <w:tcPr>
            <w:tcW w:w="1984" w:type="dxa"/>
            <w:shd w:val="clear" w:color="auto" w:fill="auto"/>
          </w:tcPr>
          <w:p w14:paraId="082306CE" w14:textId="77777777" w:rsidR="00317CC5" w:rsidRPr="001629CA" w:rsidRDefault="00317CC5" w:rsidP="00317CC5">
            <w:pPr>
              <w:pStyle w:val="Default"/>
              <w:jc w:val="right"/>
              <w:rPr>
                <w:rFonts w:ascii="Arial" w:hAnsi="Arial" w:cs="Arial"/>
                <w:snapToGrid w:val="0"/>
                <w:color w:val="auto"/>
                <w:sz w:val="20"/>
              </w:rPr>
            </w:pPr>
            <w:r w:rsidRPr="00317CC5">
              <w:rPr>
                <w:rFonts w:ascii="Arial" w:hAnsi="Arial" w:cs="Arial"/>
                <w:snapToGrid w:val="0"/>
                <w:color w:val="auto"/>
                <w:sz w:val="20"/>
              </w:rPr>
              <w:t>20</w:t>
            </w:r>
          </w:p>
        </w:tc>
      </w:tr>
      <w:tr w:rsidR="00317CC5" w:rsidRPr="001629CA" w14:paraId="13BA378B" w14:textId="77777777" w:rsidTr="00317CC5">
        <w:tc>
          <w:tcPr>
            <w:tcW w:w="4395" w:type="dxa"/>
            <w:shd w:val="clear" w:color="auto" w:fill="auto"/>
          </w:tcPr>
          <w:p w14:paraId="2C3E5AF3" w14:textId="77777777" w:rsidR="00317CC5" w:rsidRPr="001629CA" w:rsidRDefault="00317CC5" w:rsidP="00317CC5">
            <w:pPr>
              <w:pStyle w:val="Default"/>
              <w:rPr>
                <w:rFonts w:ascii="Arial" w:hAnsi="Arial" w:cs="Arial"/>
                <w:snapToGrid w:val="0"/>
                <w:color w:val="auto"/>
                <w:sz w:val="20"/>
              </w:rPr>
            </w:pPr>
            <w:r w:rsidRPr="001629CA">
              <w:rPr>
                <w:rFonts w:ascii="Arial" w:hAnsi="Arial" w:cs="Arial"/>
                <w:snapToGrid w:val="0"/>
                <w:color w:val="auto"/>
                <w:sz w:val="20"/>
              </w:rPr>
              <w:t>-svalutazione terme di Agnano in liquidazione</w:t>
            </w:r>
          </w:p>
        </w:tc>
        <w:tc>
          <w:tcPr>
            <w:tcW w:w="2126" w:type="dxa"/>
            <w:shd w:val="clear" w:color="auto" w:fill="auto"/>
          </w:tcPr>
          <w:p w14:paraId="6F33E4F5" w14:textId="77777777" w:rsidR="00317CC5" w:rsidRPr="001629CA" w:rsidRDefault="00317CC5" w:rsidP="00317CC5">
            <w:pPr>
              <w:pStyle w:val="Default"/>
              <w:jc w:val="right"/>
              <w:rPr>
                <w:rFonts w:ascii="Arial" w:hAnsi="Arial" w:cs="Arial"/>
                <w:snapToGrid w:val="0"/>
                <w:color w:val="auto"/>
                <w:sz w:val="20"/>
              </w:rPr>
            </w:pPr>
            <w:r w:rsidRPr="00C0348E">
              <w:t>-20</w:t>
            </w:r>
          </w:p>
        </w:tc>
        <w:tc>
          <w:tcPr>
            <w:tcW w:w="1984" w:type="dxa"/>
            <w:shd w:val="clear" w:color="auto" w:fill="auto"/>
          </w:tcPr>
          <w:p w14:paraId="34E36C30" w14:textId="77777777" w:rsidR="00317CC5" w:rsidRPr="001629CA" w:rsidRDefault="00317CC5" w:rsidP="00317CC5">
            <w:pPr>
              <w:pStyle w:val="Default"/>
              <w:jc w:val="right"/>
              <w:rPr>
                <w:rFonts w:ascii="Arial" w:hAnsi="Arial" w:cs="Arial"/>
                <w:snapToGrid w:val="0"/>
                <w:color w:val="auto"/>
                <w:sz w:val="20"/>
              </w:rPr>
            </w:pPr>
            <w:r w:rsidRPr="00025E83">
              <w:t>-20</w:t>
            </w:r>
          </w:p>
        </w:tc>
      </w:tr>
    </w:tbl>
    <w:p w14:paraId="69F19B9F" w14:textId="77777777" w:rsidR="001A1C9D" w:rsidRPr="003002ED" w:rsidRDefault="001A1C9D" w:rsidP="00526C0B">
      <w:pPr>
        <w:pStyle w:val="Default"/>
        <w:jc w:val="both"/>
        <w:rPr>
          <w:rFonts w:ascii="Arial" w:hAnsi="Arial" w:cs="Arial"/>
          <w:snapToGrid w:val="0"/>
          <w:sz w:val="20"/>
          <w:highlight w:val="yellow"/>
        </w:rPr>
      </w:pPr>
    </w:p>
    <w:p w14:paraId="74EC1194" w14:textId="77777777" w:rsidR="00B33D13" w:rsidRDefault="00B33D13" w:rsidP="00526C0B">
      <w:pPr>
        <w:pStyle w:val="Default"/>
        <w:jc w:val="both"/>
        <w:rPr>
          <w:rFonts w:ascii="Arial" w:hAnsi="Arial" w:cs="Arial"/>
          <w:snapToGrid w:val="0"/>
          <w:sz w:val="20"/>
        </w:rPr>
      </w:pPr>
      <w:r w:rsidRPr="00A74CC0">
        <w:rPr>
          <w:rFonts w:ascii="Arial" w:hAnsi="Arial" w:cs="Arial"/>
          <w:snapToGrid w:val="0"/>
          <w:sz w:val="20"/>
        </w:rPr>
        <w:t>La svalutazione ha riguardato essenzialmente i crediti vantati nei confronti della Terme di Agnano in liquidazione.</w:t>
      </w:r>
    </w:p>
    <w:p w14:paraId="1F6B4D69" w14:textId="77777777" w:rsidR="00FA68F4" w:rsidRPr="00A74CC0" w:rsidRDefault="00FA68F4" w:rsidP="00526C0B">
      <w:pPr>
        <w:pStyle w:val="Default"/>
        <w:jc w:val="both"/>
        <w:rPr>
          <w:rFonts w:ascii="Arial" w:hAnsi="Arial" w:cs="Arial"/>
          <w:snapToGrid w:val="0"/>
          <w:sz w:val="20"/>
        </w:rPr>
      </w:pPr>
    </w:p>
    <w:p w14:paraId="72856552" w14:textId="77777777" w:rsidR="00EE4AF0" w:rsidRPr="003002ED" w:rsidRDefault="00BC6CA2" w:rsidP="00526C0B">
      <w:pPr>
        <w:widowControl w:val="0"/>
        <w:spacing w:before="120" w:after="120"/>
        <w:jc w:val="both"/>
        <w:rPr>
          <w:rFonts w:ascii="Arial" w:hAnsi="Arial" w:cs="Arial"/>
          <w:b/>
          <w:snapToGrid w:val="0"/>
          <w:sz w:val="20"/>
          <w:u w:val="single"/>
        </w:rPr>
      </w:pPr>
      <w:r w:rsidRPr="003002ED">
        <w:rPr>
          <w:rFonts w:ascii="Arial" w:hAnsi="Arial" w:cs="Arial"/>
          <w:b/>
          <w:snapToGrid w:val="0"/>
          <w:sz w:val="20"/>
          <w:u w:val="single"/>
        </w:rPr>
        <w:t>Crediti tributari</w:t>
      </w:r>
    </w:p>
    <w:p w14:paraId="028CF321" w14:textId="10BCB0F7" w:rsidR="006A1E9D" w:rsidRPr="003002ED" w:rsidRDefault="00365942" w:rsidP="00A74CC0">
      <w:pPr>
        <w:pStyle w:val="Default"/>
        <w:jc w:val="both"/>
        <w:rPr>
          <w:rFonts w:ascii="Arial" w:hAnsi="Arial" w:cs="Arial"/>
          <w:snapToGrid w:val="0"/>
          <w:color w:val="auto"/>
          <w:sz w:val="20"/>
        </w:rPr>
      </w:pPr>
      <w:r w:rsidRPr="003002ED">
        <w:rPr>
          <w:rFonts w:ascii="Arial" w:hAnsi="Arial" w:cs="Arial"/>
          <w:snapToGrid w:val="0"/>
          <w:color w:val="auto"/>
          <w:sz w:val="20"/>
        </w:rPr>
        <w:t xml:space="preserve">La voce </w:t>
      </w:r>
      <w:r w:rsidR="00317CC5">
        <w:rPr>
          <w:rFonts w:ascii="Arial" w:hAnsi="Arial" w:cs="Arial"/>
          <w:snapToGrid w:val="0"/>
          <w:color w:val="auto"/>
          <w:sz w:val="20"/>
        </w:rPr>
        <w:t xml:space="preserve">accoglie il credito verso l’erario vantato </w:t>
      </w:r>
      <w:r w:rsidR="00A74CC0">
        <w:rPr>
          <w:rFonts w:ascii="Arial" w:hAnsi="Arial" w:cs="Arial"/>
          <w:snapToGrid w:val="0"/>
          <w:color w:val="auto"/>
          <w:sz w:val="20"/>
        </w:rPr>
        <w:t>dalla Napoli Holding</w:t>
      </w:r>
      <w:r w:rsidR="00317CC5" w:rsidRPr="00317CC5">
        <w:rPr>
          <w:color w:val="auto"/>
          <w:sz w:val="20"/>
          <w:szCs w:val="20"/>
        </w:rPr>
        <w:t xml:space="preserve"> </w:t>
      </w:r>
      <w:r w:rsidR="00317CC5" w:rsidRPr="00317CC5">
        <w:rPr>
          <w:rFonts w:ascii="Arial" w:hAnsi="Arial" w:cs="Arial"/>
          <w:snapToGrid w:val="0"/>
          <w:color w:val="auto"/>
          <w:sz w:val="20"/>
        </w:rPr>
        <w:t xml:space="preserve">per circa </w:t>
      </w:r>
      <w:r w:rsidR="002E73F3">
        <w:rPr>
          <w:rFonts w:ascii="Arial" w:hAnsi="Arial" w:cs="Arial"/>
          <w:snapToGrid w:val="0"/>
          <w:color w:val="auto"/>
          <w:sz w:val="20"/>
        </w:rPr>
        <w:t>1.046</w:t>
      </w:r>
      <w:r w:rsidR="00FA68F4">
        <w:rPr>
          <w:rFonts w:ascii="Arial" w:hAnsi="Arial" w:cs="Arial"/>
          <w:snapToGrid w:val="0"/>
          <w:color w:val="auto"/>
          <w:sz w:val="20"/>
        </w:rPr>
        <w:t xml:space="preserve"> </w:t>
      </w:r>
      <w:r w:rsidR="00FA68F4" w:rsidRPr="002E73F3">
        <w:rPr>
          <w:rFonts w:ascii="Arial" w:hAnsi="Arial" w:cs="Arial"/>
          <w:snapToGrid w:val="0"/>
          <w:sz w:val="20"/>
        </w:rPr>
        <w:t>€/000</w:t>
      </w:r>
      <w:r w:rsidR="00FA68F4">
        <w:rPr>
          <w:rFonts w:ascii="Arial" w:hAnsi="Arial" w:cs="Arial"/>
          <w:snapToGrid w:val="0"/>
          <w:sz w:val="20"/>
        </w:rPr>
        <w:t xml:space="preserve"> </w:t>
      </w:r>
      <w:r w:rsidR="00317CC5">
        <w:rPr>
          <w:rFonts w:ascii="Arial" w:hAnsi="Arial" w:cs="Arial"/>
          <w:snapToGrid w:val="0"/>
          <w:color w:val="auto"/>
          <w:sz w:val="20"/>
        </w:rPr>
        <w:t xml:space="preserve">riconducibile essenzialmente al </w:t>
      </w:r>
      <w:r w:rsidR="00317CC5" w:rsidRPr="00317CC5">
        <w:rPr>
          <w:rFonts w:ascii="Arial" w:hAnsi="Arial" w:cs="Arial"/>
          <w:snapToGrid w:val="0"/>
          <w:color w:val="auto"/>
          <w:sz w:val="20"/>
        </w:rPr>
        <w:t xml:space="preserve">rimborso Ires per mancata deduzione Irap sul costo del personale relativo ad esercizi precedenti di cui all’art. 2 comma 1 quater D.L. 201/2011 (circa 646 </w:t>
      </w:r>
      <w:r w:rsidR="00FA68F4" w:rsidRPr="002E73F3">
        <w:rPr>
          <w:rFonts w:ascii="Arial" w:hAnsi="Arial" w:cs="Arial"/>
          <w:snapToGrid w:val="0"/>
          <w:sz w:val="20"/>
        </w:rPr>
        <w:t>€/000</w:t>
      </w:r>
      <w:r w:rsidR="00317CC5" w:rsidRPr="00317CC5">
        <w:rPr>
          <w:rFonts w:ascii="Arial" w:hAnsi="Arial" w:cs="Arial"/>
          <w:snapToGrid w:val="0"/>
          <w:color w:val="auto"/>
          <w:sz w:val="20"/>
        </w:rPr>
        <w:t>), incassati nel corso del 2020</w:t>
      </w:r>
      <w:r w:rsidR="00317CC5">
        <w:rPr>
          <w:rFonts w:ascii="Arial" w:hAnsi="Arial" w:cs="Arial"/>
          <w:snapToGrid w:val="0"/>
          <w:color w:val="auto"/>
          <w:sz w:val="20"/>
        </w:rPr>
        <w:t xml:space="preserve">, e </w:t>
      </w:r>
      <w:r w:rsidR="00317CC5" w:rsidRPr="00317CC5">
        <w:rPr>
          <w:rFonts w:ascii="Arial" w:hAnsi="Arial" w:cs="Arial"/>
          <w:snapToGrid w:val="0"/>
          <w:color w:val="auto"/>
          <w:sz w:val="20"/>
        </w:rPr>
        <w:t>al credito IVA (circa 346</w:t>
      </w:r>
      <w:r w:rsidR="00FA68F4">
        <w:rPr>
          <w:rFonts w:ascii="Arial" w:hAnsi="Arial" w:cs="Arial"/>
          <w:snapToGrid w:val="0"/>
          <w:color w:val="auto"/>
          <w:sz w:val="20"/>
        </w:rPr>
        <w:t xml:space="preserve"> </w:t>
      </w:r>
      <w:r w:rsidR="00FA68F4" w:rsidRPr="002E73F3">
        <w:rPr>
          <w:rFonts w:ascii="Arial" w:hAnsi="Arial" w:cs="Arial"/>
          <w:snapToGrid w:val="0"/>
          <w:sz w:val="20"/>
        </w:rPr>
        <w:t>€/000</w:t>
      </w:r>
      <w:r w:rsidR="00317CC5" w:rsidRPr="00317CC5">
        <w:rPr>
          <w:rFonts w:ascii="Arial" w:hAnsi="Arial" w:cs="Arial"/>
          <w:snapToGrid w:val="0"/>
          <w:color w:val="auto"/>
          <w:sz w:val="20"/>
        </w:rPr>
        <w:t>)</w:t>
      </w:r>
      <w:r w:rsidR="00C051FE">
        <w:rPr>
          <w:rFonts w:ascii="Arial" w:hAnsi="Arial" w:cs="Arial"/>
          <w:snapToGrid w:val="0"/>
          <w:color w:val="auto"/>
          <w:sz w:val="20"/>
        </w:rPr>
        <w:t>.</w:t>
      </w:r>
    </w:p>
    <w:p w14:paraId="7457E1AC" w14:textId="77777777" w:rsidR="00436209" w:rsidRDefault="00436209" w:rsidP="00C051FE">
      <w:pPr>
        <w:autoSpaceDE w:val="0"/>
        <w:autoSpaceDN w:val="0"/>
        <w:adjustRightInd w:val="0"/>
        <w:spacing w:before="120"/>
        <w:jc w:val="both"/>
        <w:rPr>
          <w:rFonts w:ascii="Arial" w:hAnsi="Arial" w:cs="Arial"/>
          <w:snapToGrid w:val="0"/>
          <w:sz w:val="20"/>
        </w:rPr>
      </w:pPr>
      <w:r w:rsidRPr="00AD18EF">
        <w:rPr>
          <w:rFonts w:ascii="Arial" w:hAnsi="Arial" w:cs="Arial"/>
          <w:snapToGrid w:val="0"/>
          <w:sz w:val="20"/>
        </w:rPr>
        <w:t xml:space="preserve">La restante parte dei crediti tributari fa riferimento alla controllata </w:t>
      </w:r>
      <w:r w:rsidR="00C051FE">
        <w:rPr>
          <w:rFonts w:ascii="Arial" w:hAnsi="Arial" w:cs="Arial"/>
          <w:snapToGrid w:val="0"/>
          <w:sz w:val="20"/>
        </w:rPr>
        <w:t xml:space="preserve">ANM </w:t>
      </w:r>
      <w:r w:rsidRPr="00AD18EF">
        <w:rPr>
          <w:rFonts w:ascii="Arial" w:hAnsi="Arial" w:cs="Arial"/>
          <w:snapToGrid w:val="0"/>
          <w:sz w:val="20"/>
        </w:rPr>
        <w:t>ed è composta da:</w:t>
      </w:r>
    </w:p>
    <w:p w14:paraId="6A797586" w14:textId="77777777" w:rsidR="002E73F3" w:rsidRPr="002E73F3" w:rsidRDefault="002E73F3" w:rsidP="0049512E">
      <w:pPr>
        <w:numPr>
          <w:ilvl w:val="0"/>
          <w:numId w:val="33"/>
        </w:numPr>
        <w:tabs>
          <w:tab w:val="clear" w:pos="1080"/>
        </w:tabs>
        <w:autoSpaceDE w:val="0"/>
        <w:autoSpaceDN w:val="0"/>
        <w:adjustRightInd w:val="0"/>
        <w:spacing w:before="120"/>
        <w:ind w:left="851" w:hanging="425"/>
        <w:jc w:val="both"/>
        <w:rPr>
          <w:rFonts w:ascii="Arial" w:hAnsi="Arial" w:cs="Arial"/>
          <w:snapToGrid w:val="0"/>
          <w:sz w:val="20"/>
        </w:rPr>
      </w:pPr>
      <w:r>
        <w:rPr>
          <w:rFonts w:ascii="Arial" w:hAnsi="Arial" w:cs="Arial"/>
          <w:snapToGrid w:val="0"/>
          <w:sz w:val="20"/>
        </w:rPr>
        <w:t xml:space="preserve">   </w:t>
      </w:r>
      <w:r w:rsidRPr="002E73F3">
        <w:rPr>
          <w:rFonts w:ascii="Arial" w:hAnsi="Arial" w:cs="Arial"/>
          <w:snapToGrid w:val="0"/>
          <w:sz w:val="20"/>
        </w:rPr>
        <w:t xml:space="preserve">credito </w:t>
      </w:r>
      <w:r w:rsidRPr="002E73F3">
        <w:rPr>
          <w:rFonts w:ascii="Arial" w:hAnsi="Arial" w:cs="Arial"/>
          <w:b/>
          <w:bCs/>
          <w:snapToGrid w:val="0"/>
          <w:sz w:val="20"/>
        </w:rPr>
        <w:t>verso Erario</w:t>
      </w:r>
      <w:r w:rsidRPr="002E73F3">
        <w:rPr>
          <w:rFonts w:ascii="Arial" w:hAnsi="Arial" w:cs="Arial"/>
          <w:snapToGrid w:val="0"/>
          <w:sz w:val="20"/>
        </w:rPr>
        <w:t xml:space="preserve"> </w:t>
      </w:r>
      <w:r w:rsidRPr="002E73F3">
        <w:rPr>
          <w:rFonts w:ascii="Arial" w:hAnsi="Arial" w:cs="Arial"/>
          <w:b/>
          <w:bCs/>
          <w:snapToGrid w:val="0"/>
          <w:sz w:val="20"/>
        </w:rPr>
        <w:t>per ritenute su c.c</w:t>
      </w:r>
      <w:r w:rsidRPr="002E73F3">
        <w:rPr>
          <w:rFonts w:ascii="Arial" w:hAnsi="Arial" w:cs="Arial"/>
          <w:b/>
          <w:snapToGrid w:val="0"/>
          <w:sz w:val="20"/>
        </w:rPr>
        <w:t>.</w:t>
      </w:r>
      <w:r w:rsidRPr="002E73F3">
        <w:rPr>
          <w:rFonts w:ascii="Arial" w:hAnsi="Arial" w:cs="Arial"/>
          <w:snapToGrid w:val="0"/>
          <w:sz w:val="20"/>
        </w:rPr>
        <w:t xml:space="preserve">  è relativo alle ritenute a titolo d’acconto maturate sui depositi bancari e postali attivi nell’esercizio 2019;</w:t>
      </w:r>
    </w:p>
    <w:p w14:paraId="509E9821" w14:textId="77777777" w:rsidR="002E73F3" w:rsidRPr="002E73F3" w:rsidRDefault="002E73F3" w:rsidP="0049512E">
      <w:pPr>
        <w:numPr>
          <w:ilvl w:val="0"/>
          <w:numId w:val="34"/>
        </w:numPr>
        <w:tabs>
          <w:tab w:val="num" w:pos="851"/>
        </w:tabs>
        <w:autoSpaceDE w:val="0"/>
        <w:autoSpaceDN w:val="0"/>
        <w:adjustRightInd w:val="0"/>
        <w:spacing w:before="120"/>
        <w:jc w:val="both"/>
        <w:rPr>
          <w:rFonts w:ascii="Arial" w:hAnsi="Arial" w:cs="Arial"/>
          <w:i/>
          <w:snapToGrid w:val="0"/>
          <w:sz w:val="20"/>
        </w:rPr>
      </w:pPr>
      <w:r w:rsidRPr="002E73F3">
        <w:rPr>
          <w:rFonts w:ascii="Arial" w:hAnsi="Arial" w:cs="Arial"/>
          <w:snapToGrid w:val="0"/>
          <w:sz w:val="20"/>
        </w:rPr>
        <w:t xml:space="preserve">credito verso </w:t>
      </w:r>
      <w:r w:rsidRPr="002E73F3">
        <w:rPr>
          <w:rFonts w:ascii="Arial" w:hAnsi="Arial" w:cs="Arial"/>
          <w:b/>
          <w:snapToGrid w:val="0"/>
          <w:sz w:val="20"/>
        </w:rPr>
        <w:t>Erario per lo sconto sul consumo carburante</w:t>
      </w:r>
      <w:r w:rsidRPr="002E73F3">
        <w:rPr>
          <w:rFonts w:ascii="Arial" w:hAnsi="Arial" w:cs="Arial"/>
          <w:snapToGrid w:val="0"/>
          <w:sz w:val="20"/>
        </w:rPr>
        <w:t xml:space="preserve"> è composto dalle istanze presentate nel 2017 per il recupero accise gasolio per 602 €/000, importo incassato nel 2020, e dalle istanze di recupero accise presentate nel 2019 per 843 €/000;</w:t>
      </w:r>
    </w:p>
    <w:p w14:paraId="6F3F0CE4" w14:textId="77777777" w:rsidR="002E73F3" w:rsidRPr="002E73F3" w:rsidRDefault="002E73F3" w:rsidP="0049512E">
      <w:pPr>
        <w:numPr>
          <w:ilvl w:val="0"/>
          <w:numId w:val="34"/>
        </w:numPr>
        <w:tabs>
          <w:tab w:val="num" w:pos="851"/>
        </w:tabs>
        <w:autoSpaceDE w:val="0"/>
        <w:autoSpaceDN w:val="0"/>
        <w:adjustRightInd w:val="0"/>
        <w:spacing w:before="120"/>
        <w:jc w:val="both"/>
        <w:rPr>
          <w:rFonts w:ascii="Arial" w:hAnsi="Arial" w:cs="Arial"/>
          <w:snapToGrid w:val="0"/>
          <w:sz w:val="20"/>
        </w:rPr>
      </w:pPr>
      <w:r w:rsidRPr="002E73F3">
        <w:rPr>
          <w:rFonts w:ascii="Arial" w:hAnsi="Arial" w:cs="Arial"/>
          <w:snapToGrid w:val="0"/>
          <w:sz w:val="20"/>
        </w:rPr>
        <w:t xml:space="preserve">Credito verso </w:t>
      </w:r>
      <w:r w:rsidRPr="002E73F3">
        <w:rPr>
          <w:rFonts w:ascii="Arial" w:hAnsi="Arial" w:cs="Arial"/>
          <w:b/>
          <w:snapToGrid w:val="0"/>
          <w:sz w:val="20"/>
        </w:rPr>
        <w:t>Erario per IRES</w:t>
      </w:r>
      <w:r w:rsidRPr="002E73F3">
        <w:rPr>
          <w:rFonts w:ascii="Arial" w:hAnsi="Arial" w:cs="Arial"/>
          <w:snapToGrid w:val="0"/>
          <w:sz w:val="20"/>
        </w:rPr>
        <w:t xml:space="preserve"> è composto per 88 €/000 </w:t>
      </w:r>
      <w:r w:rsidRPr="002E73F3">
        <w:rPr>
          <w:rFonts w:ascii="Arial" w:hAnsi="Arial" w:cs="Arial"/>
          <w:i/>
          <w:snapToGrid w:val="0"/>
          <w:sz w:val="20"/>
        </w:rPr>
        <w:t>da</w:t>
      </w:r>
      <w:r w:rsidRPr="002E73F3">
        <w:rPr>
          <w:rFonts w:ascii="Arial" w:hAnsi="Arial" w:cs="Arial"/>
          <w:snapToGrid w:val="0"/>
          <w:sz w:val="20"/>
        </w:rPr>
        <w:t xml:space="preserve"> crediti IRES anni precedenti e per 788 €/000 è relativo alla richiesta di rimborso IRES per la mancata deduzione IRAP per spese relative al personale dipendente ex MTN; </w:t>
      </w:r>
    </w:p>
    <w:p w14:paraId="60DE7E0A" w14:textId="77777777" w:rsidR="002E73F3" w:rsidRDefault="002E73F3" w:rsidP="0049512E">
      <w:pPr>
        <w:numPr>
          <w:ilvl w:val="0"/>
          <w:numId w:val="34"/>
        </w:numPr>
        <w:tabs>
          <w:tab w:val="num" w:pos="851"/>
        </w:tabs>
        <w:autoSpaceDE w:val="0"/>
        <w:autoSpaceDN w:val="0"/>
        <w:adjustRightInd w:val="0"/>
        <w:spacing w:before="120"/>
        <w:jc w:val="both"/>
        <w:rPr>
          <w:rFonts w:ascii="Arial" w:hAnsi="Arial" w:cs="Arial"/>
          <w:snapToGrid w:val="0"/>
          <w:sz w:val="20"/>
        </w:rPr>
      </w:pPr>
      <w:r>
        <w:rPr>
          <w:rFonts w:ascii="Arial" w:hAnsi="Arial" w:cs="Arial"/>
          <w:snapToGrid w:val="0"/>
          <w:sz w:val="20"/>
        </w:rPr>
        <w:t xml:space="preserve"> Credito pari a </w:t>
      </w:r>
      <w:r w:rsidRPr="002E73F3">
        <w:rPr>
          <w:rFonts w:ascii="Arial" w:hAnsi="Arial" w:cs="Arial"/>
          <w:snapToGrid w:val="0"/>
          <w:sz w:val="20"/>
        </w:rPr>
        <w:t>1.837 €/000 deriva</w:t>
      </w:r>
      <w:r>
        <w:rPr>
          <w:rFonts w:ascii="Arial" w:hAnsi="Arial" w:cs="Arial"/>
          <w:snapToGrid w:val="0"/>
          <w:sz w:val="20"/>
        </w:rPr>
        <w:t>nte</w:t>
      </w:r>
      <w:r w:rsidRPr="002E73F3">
        <w:rPr>
          <w:rFonts w:ascii="Arial" w:hAnsi="Arial" w:cs="Arial"/>
          <w:snapToGrid w:val="0"/>
          <w:sz w:val="20"/>
        </w:rPr>
        <w:t xml:space="preserve"> dalla sentenza della Suprema Corte di Cassazione 11672/19, che ha confermato il giudicato di secondo grado, disponendo il rimborso IRAP 2010, nella fattispecie del cuneo fiscale, respingendo il ricorso proposto dalla Amministrazione finanziaria. </w:t>
      </w:r>
    </w:p>
    <w:p w14:paraId="6436B725" w14:textId="77777777" w:rsidR="00EE4AF0" w:rsidRPr="008F722B" w:rsidRDefault="00EE4AF0" w:rsidP="00526C0B">
      <w:pPr>
        <w:widowControl w:val="0"/>
        <w:spacing w:before="120" w:after="120"/>
        <w:jc w:val="both"/>
        <w:rPr>
          <w:rFonts w:ascii="Arial" w:hAnsi="Arial" w:cs="Arial"/>
          <w:b/>
          <w:snapToGrid w:val="0"/>
          <w:sz w:val="20"/>
          <w:u w:val="single"/>
        </w:rPr>
      </w:pPr>
      <w:r w:rsidRPr="008F722B">
        <w:rPr>
          <w:rFonts w:ascii="Arial" w:hAnsi="Arial" w:cs="Arial"/>
          <w:b/>
          <w:snapToGrid w:val="0"/>
          <w:sz w:val="20"/>
          <w:u w:val="single"/>
        </w:rPr>
        <w:lastRenderedPageBreak/>
        <w:t>Crediti per imposte anticipate</w:t>
      </w:r>
    </w:p>
    <w:p w14:paraId="221CF051" w14:textId="31DDB4B2" w:rsidR="000F0A67" w:rsidRDefault="009729A0" w:rsidP="000F0A67">
      <w:pPr>
        <w:pStyle w:val="Default"/>
        <w:jc w:val="both"/>
        <w:rPr>
          <w:rFonts w:ascii="Arial" w:hAnsi="Arial" w:cs="Arial"/>
          <w:snapToGrid w:val="0"/>
          <w:color w:val="auto"/>
          <w:sz w:val="20"/>
        </w:rPr>
      </w:pPr>
      <w:r>
        <w:rPr>
          <w:rFonts w:ascii="Arial" w:hAnsi="Arial" w:cs="Arial"/>
          <w:snapToGrid w:val="0"/>
          <w:color w:val="auto"/>
          <w:sz w:val="20"/>
        </w:rPr>
        <w:t>C</w:t>
      </w:r>
      <w:r w:rsidR="00436209" w:rsidRPr="00AD18EF">
        <w:rPr>
          <w:rFonts w:ascii="Arial" w:hAnsi="Arial" w:cs="Arial"/>
          <w:snapToGrid w:val="0"/>
          <w:color w:val="auto"/>
          <w:sz w:val="20"/>
        </w:rPr>
        <w:t>on riferimento alla</w:t>
      </w:r>
      <w:r w:rsidR="00875BE5">
        <w:rPr>
          <w:rFonts w:ascii="Arial" w:hAnsi="Arial" w:cs="Arial"/>
          <w:snapToGrid w:val="0"/>
          <w:color w:val="auto"/>
          <w:sz w:val="20"/>
        </w:rPr>
        <w:t xml:space="preserve"> Napoli Holding</w:t>
      </w:r>
      <w:r w:rsidR="00436209" w:rsidRPr="00AD18EF">
        <w:rPr>
          <w:rFonts w:ascii="Arial" w:hAnsi="Arial" w:cs="Arial"/>
          <w:snapToGrid w:val="0"/>
          <w:color w:val="auto"/>
          <w:sz w:val="20"/>
        </w:rPr>
        <w:t>,</w:t>
      </w:r>
      <w:r w:rsidR="00365942" w:rsidRPr="00AD18EF">
        <w:rPr>
          <w:rFonts w:ascii="Arial" w:hAnsi="Arial" w:cs="Arial"/>
          <w:snapToGrid w:val="0"/>
          <w:color w:val="auto"/>
          <w:sz w:val="20"/>
        </w:rPr>
        <w:t xml:space="preserve"> </w:t>
      </w:r>
      <w:r w:rsidR="000F0A67">
        <w:rPr>
          <w:rFonts w:ascii="Arial" w:hAnsi="Arial" w:cs="Arial"/>
          <w:snapToGrid w:val="0"/>
          <w:color w:val="auto"/>
          <w:sz w:val="20"/>
        </w:rPr>
        <w:t xml:space="preserve">la voce di credito per </w:t>
      </w:r>
      <w:r w:rsidR="000F0A67" w:rsidRPr="000F0A67">
        <w:rPr>
          <w:rFonts w:ascii="Arial" w:hAnsi="Arial" w:cs="Arial"/>
          <w:snapToGrid w:val="0"/>
          <w:color w:val="auto"/>
          <w:sz w:val="20"/>
        </w:rPr>
        <w:t>imposte anticipate</w:t>
      </w:r>
      <w:r w:rsidR="000F0A67">
        <w:rPr>
          <w:rFonts w:ascii="Arial" w:hAnsi="Arial" w:cs="Arial"/>
          <w:snapToGrid w:val="0"/>
          <w:color w:val="auto"/>
          <w:sz w:val="20"/>
        </w:rPr>
        <w:t>, pari ad euro 106 mila, è stato interamente stornata in contropartita della voce del fondo per imp</w:t>
      </w:r>
      <w:r w:rsidR="000F0A67" w:rsidRPr="000F0A67">
        <w:rPr>
          <w:rFonts w:ascii="Arial" w:hAnsi="Arial" w:cs="Arial"/>
          <w:snapToGrid w:val="0"/>
          <w:color w:val="auto"/>
          <w:sz w:val="20"/>
        </w:rPr>
        <w:t xml:space="preserve">oste differite, che accoglieva il valore relativo alla tassazione, statuita per cassa, degli interessi di mora iscritti in bilancio in precedenti esercizi, e non incassati. Lo storno di detta posta con </w:t>
      </w:r>
      <w:r w:rsidR="000F0A67">
        <w:rPr>
          <w:rFonts w:ascii="Arial" w:hAnsi="Arial" w:cs="Arial"/>
          <w:snapToGrid w:val="0"/>
          <w:color w:val="auto"/>
          <w:sz w:val="20"/>
        </w:rPr>
        <w:t xml:space="preserve">il fondo per imposte differite </w:t>
      </w:r>
      <w:r w:rsidR="000F0A67" w:rsidRPr="000F0A67">
        <w:rPr>
          <w:rFonts w:ascii="Arial" w:hAnsi="Arial" w:cs="Arial"/>
          <w:snapToGrid w:val="0"/>
          <w:color w:val="auto"/>
          <w:sz w:val="20"/>
        </w:rPr>
        <w:t>è conseguente all’avvenuto storno del credito verso la controllante per gli interessi di mora con il relativo fondo svalutazione</w:t>
      </w:r>
      <w:r w:rsidR="000F0A67">
        <w:rPr>
          <w:rFonts w:ascii="Arial" w:hAnsi="Arial" w:cs="Arial"/>
          <w:snapToGrid w:val="0"/>
          <w:color w:val="auto"/>
          <w:sz w:val="20"/>
        </w:rPr>
        <w:t>.</w:t>
      </w:r>
    </w:p>
    <w:p w14:paraId="4B3C2027" w14:textId="2169D6A6" w:rsidR="0012197A" w:rsidRPr="008F722B" w:rsidRDefault="00436209" w:rsidP="000F0A67">
      <w:pPr>
        <w:pStyle w:val="Default"/>
        <w:jc w:val="both"/>
        <w:rPr>
          <w:rFonts w:ascii="Arial" w:hAnsi="Arial" w:cs="Arial"/>
          <w:snapToGrid w:val="0"/>
          <w:color w:val="auto"/>
          <w:sz w:val="20"/>
        </w:rPr>
      </w:pPr>
      <w:r w:rsidRPr="008F722B">
        <w:rPr>
          <w:rFonts w:ascii="Arial" w:hAnsi="Arial" w:cs="Arial"/>
          <w:snapToGrid w:val="0"/>
          <w:color w:val="auto"/>
          <w:sz w:val="20"/>
        </w:rPr>
        <w:t>Con riferimento alla controllata</w:t>
      </w:r>
      <w:r w:rsidR="00875BE5">
        <w:rPr>
          <w:rFonts w:ascii="Arial" w:hAnsi="Arial" w:cs="Arial"/>
          <w:snapToGrid w:val="0"/>
          <w:color w:val="auto"/>
          <w:sz w:val="20"/>
        </w:rPr>
        <w:t>,</w:t>
      </w:r>
      <w:r w:rsidRPr="008F722B">
        <w:rPr>
          <w:rFonts w:ascii="Arial" w:hAnsi="Arial" w:cs="Arial"/>
          <w:snapToGrid w:val="0"/>
          <w:color w:val="auto"/>
          <w:sz w:val="20"/>
        </w:rPr>
        <w:t xml:space="preserve"> </w:t>
      </w:r>
      <w:r w:rsidR="008F722B" w:rsidRPr="008F722B">
        <w:rPr>
          <w:rFonts w:ascii="Arial" w:hAnsi="Arial" w:cs="Arial"/>
          <w:snapToGrid w:val="0"/>
          <w:sz w:val="20"/>
        </w:rPr>
        <w:t>l'importo iscritto in bilancio, relativo a imposte anticipate maturato negli anni passati pari a 662 €/000, è stato integralmente svalutato, in considerazione della situazione reddituale dell'azienda, che rende incert</w:t>
      </w:r>
      <w:r w:rsidR="00FA68F4">
        <w:rPr>
          <w:rFonts w:ascii="Arial" w:hAnsi="Arial" w:cs="Arial"/>
          <w:snapToGrid w:val="0"/>
          <w:sz w:val="20"/>
        </w:rPr>
        <w:t>e</w:t>
      </w:r>
      <w:r w:rsidR="008F722B" w:rsidRPr="008F722B">
        <w:rPr>
          <w:rFonts w:ascii="Arial" w:hAnsi="Arial" w:cs="Arial"/>
          <w:snapToGrid w:val="0"/>
          <w:sz w:val="20"/>
        </w:rPr>
        <w:t xml:space="preserve"> le possibilità </w:t>
      </w:r>
      <w:r w:rsidR="008F722B" w:rsidRPr="008F722B">
        <w:rPr>
          <w:rFonts w:ascii="Arial" w:hAnsi="Arial" w:cs="Arial"/>
          <w:snapToGrid w:val="0"/>
          <w:color w:val="auto"/>
          <w:sz w:val="20"/>
        </w:rPr>
        <w:t>di recupero delle imposte anticipate.</w:t>
      </w:r>
    </w:p>
    <w:p w14:paraId="5CAA5201" w14:textId="77777777" w:rsidR="00F275A1" w:rsidRPr="00B003C4" w:rsidRDefault="00F275A1" w:rsidP="00526C0B">
      <w:pPr>
        <w:widowControl w:val="0"/>
        <w:spacing w:before="120" w:after="120"/>
        <w:jc w:val="both"/>
        <w:rPr>
          <w:rFonts w:ascii="Arial" w:hAnsi="Arial" w:cs="Arial"/>
          <w:b/>
          <w:snapToGrid w:val="0"/>
          <w:sz w:val="20"/>
          <w:u w:val="single"/>
        </w:rPr>
      </w:pPr>
      <w:r w:rsidRPr="00B003C4">
        <w:rPr>
          <w:rFonts w:ascii="Arial" w:hAnsi="Arial" w:cs="Arial"/>
          <w:b/>
          <w:snapToGrid w:val="0"/>
          <w:sz w:val="20"/>
          <w:u w:val="single"/>
        </w:rPr>
        <w:t>Crediti vs altri</w:t>
      </w:r>
    </w:p>
    <w:p w14:paraId="0D18E867" w14:textId="3E80EBC2" w:rsidR="00365942" w:rsidRDefault="00365942" w:rsidP="00526C0B">
      <w:pPr>
        <w:widowControl w:val="0"/>
        <w:spacing w:before="120" w:after="120"/>
        <w:jc w:val="both"/>
        <w:rPr>
          <w:rFonts w:ascii="Arial" w:hAnsi="Arial" w:cs="Arial"/>
          <w:snapToGrid w:val="0"/>
          <w:sz w:val="20"/>
        </w:rPr>
      </w:pPr>
      <w:r w:rsidRPr="00B003C4">
        <w:rPr>
          <w:rFonts w:ascii="Arial" w:hAnsi="Arial" w:cs="Arial"/>
          <w:snapToGrid w:val="0"/>
          <w:sz w:val="20"/>
        </w:rPr>
        <w:t xml:space="preserve">La voce interessa </w:t>
      </w:r>
      <w:r w:rsidR="0093421B" w:rsidRPr="00B003C4">
        <w:rPr>
          <w:rFonts w:ascii="Arial" w:hAnsi="Arial" w:cs="Arial"/>
          <w:snapToGrid w:val="0"/>
          <w:sz w:val="20"/>
        </w:rPr>
        <w:t xml:space="preserve">principalmente i crediti </w:t>
      </w:r>
      <w:r w:rsidR="00875BE5" w:rsidRPr="00B003C4">
        <w:rPr>
          <w:rFonts w:ascii="Arial" w:hAnsi="Arial" w:cs="Arial"/>
          <w:snapToGrid w:val="0"/>
          <w:sz w:val="20"/>
        </w:rPr>
        <w:t xml:space="preserve">della </w:t>
      </w:r>
      <w:r w:rsidR="002A4703">
        <w:rPr>
          <w:rFonts w:ascii="Arial" w:hAnsi="Arial" w:cs="Arial"/>
          <w:snapToGrid w:val="0"/>
          <w:sz w:val="20"/>
        </w:rPr>
        <w:t>s</w:t>
      </w:r>
      <w:r w:rsidR="00875BE5" w:rsidRPr="00B003C4">
        <w:rPr>
          <w:rFonts w:ascii="Arial" w:hAnsi="Arial" w:cs="Arial"/>
          <w:snapToGrid w:val="0"/>
          <w:sz w:val="20"/>
        </w:rPr>
        <w:t>ocietà</w:t>
      </w:r>
      <w:r w:rsidRPr="00B003C4">
        <w:rPr>
          <w:rFonts w:ascii="Arial" w:hAnsi="Arial" w:cs="Arial"/>
          <w:snapToGrid w:val="0"/>
          <w:sz w:val="20"/>
        </w:rPr>
        <w:t xml:space="preserve"> controllata. Gli importi più significativi che c</w:t>
      </w:r>
      <w:r w:rsidR="0093421B" w:rsidRPr="00B003C4">
        <w:rPr>
          <w:rFonts w:ascii="Arial" w:hAnsi="Arial" w:cs="Arial"/>
          <w:snapToGrid w:val="0"/>
          <w:sz w:val="20"/>
        </w:rPr>
        <w:t>ompongono il saldo</w:t>
      </w:r>
      <w:r w:rsidR="00436209" w:rsidRPr="00B003C4">
        <w:rPr>
          <w:rFonts w:ascii="Arial" w:hAnsi="Arial" w:cs="Arial"/>
          <w:snapToGrid w:val="0"/>
          <w:sz w:val="20"/>
        </w:rPr>
        <w:t xml:space="preserve"> dei crediti vs altri entro l’esercizio successivo</w:t>
      </w:r>
      <w:r w:rsidR="0093421B" w:rsidRPr="00B003C4">
        <w:rPr>
          <w:rFonts w:ascii="Arial" w:hAnsi="Arial" w:cs="Arial"/>
          <w:snapToGrid w:val="0"/>
          <w:sz w:val="20"/>
        </w:rPr>
        <w:t xml:space="preserve"> al 31.12.201</w:t>
      </w:r>
      <w:r w:rsidR="004D3BA6">
        <w:rPr>
          <w:rFonts w:ascii="Arial" w:hAnsi="Arial" w:cs="Arial"/>
          <w:snapToGrid w:val="0"/>
          <w:sz w:val="20"/>
        </w:rPr>
        <w:t>9</w:t>
      </w:r>
      <w:r w:rsidRPr="00B003C4">
        <w:rPr>
          <w:rFonts w:ascii="Arial" w:hAnsi="Arial" w:cs="Arial"/>
          <w:snapToGrid w:val="0"/>
          <w:sz w:val="20"/>
        </w:rPr>
        <w:t>, sono relativi principalmente a:</w:t>
      </w:r>
    </w:p>
    <w:p w14:paraId="0F986A73" w14:textId="05E4DF6B" w:rsidR="00BF64DB" w:rsidRPr="004D3BA6" w:rsidRDefault="00660BD8" w:rsidP="001E0FA2">
      <w:pPr>
        <w:widowControl w:val="0"/>
        <w:numPr>
          <w:ilvl w:val="0"/>
          <w:numId w:val="11"/>
        </w:numPr>
        <w:spacing w:before="120" w:after="120"/>
        <w:jc w:val="both"/>
        <w:rPr>
          <w:rFonts w:ascii="Arial" w:hAnsi="Arial" w:cs="Arial"/>
          <w:snapToGrid w:val="0"/>
          <w:sz w:val="20"/>
        </w:rPr>
      </w:pPr>
      <w:r w:rsidRPr="004D3BA6">
        <w:rPr>
          <w:rFonts w:ascii="Arial" w:hAnsi="Arial" w:cs="Arial"/>
          <w:b/>
          <w:bCs/>
          <w:snapToGrid w:val="0"/>
          <w:sz w:val="20"/>
        </w:rPr>
        <w:t>C</w:t>
      </w:r>
      <w:r w:rsidR="00B003C4" w:rsidRPr="004D3BA6">
        <w:rPr>
          <w:rFonts w:ascii="Arial" w:hAnsi="Arial" w:cs="Arial"/>
          <w:b/>
          <w:bCs/>
          <w:snapToGrid w:val="0"/>
          <w:sz w:val="20"/>
        </w:rPr>
        <w:t xml:space="preserve">rediti </w:t>
      </w:r>
      <w:r w:rsidR="001E0FA2">
        <w:rPr>
          <w:rFonts w:ascii="Arial" w:hAnsi="Arial" w:cs="Arial"/>
          <w:b/>
          <w:bCs/>
          <w:snapToGrid w:val="0"/>
          <w:sz w:val="20"/>
        </w:rPr>
        <w:t>verso</w:t>
      </w:r>
      <w:r w:rsidR="00B003C4" w:rsidRPr="004D3BA6">
        <w:rPr>
          <w:rFonts w:ascii="Arial" w:hAnsi="Arial" w:cs="Arial"/>
          <w:b/>
          <w:bCs/>
          <w:snapToGrid w:val="0"/>
          <w:sz w:val="20"/>
        </w:rPr>
        <w:t xml:space="preserve"> </w:t>
      </w:r>
      <w:r w:rsidR="001E0FA2">
        <w:rPr>
          <w:rFonts w:ascii="Arial" w:hAnsi="Arial" w:cs="Arial"/>
          <w:b/>
          <w:bCs/>
          <w:snapToGrid w:val="0"/>
          <w:sz w:val="20"/>
        </w:rPr>
        <w:t xml:space="preserve">il </w:t>
      </w:r>
      <w:r w:rsidR="001E0FA2" w:rsidRPr="001E0FA2">
        <w:rPr>
          <w:rFonts w:ascii="Arial" w:hAnsi="Arial" w:cs="Arial"/>
          <w:b/>
          <w:bCs/>
          <w:snapToGrid w:val="0"/>
          <w:sz w:val="20"/>
        </w:rPr>
        <w:t>Ministero del Lavoro e delle Politiche Sociali</w:t>
      </w:r>
      <w:r w:rsidR="00B003C4" w:rsidRPr="004D3BA6">
        <w:rPr>
          <w:rFonts w:ascii="Arial" w:hAnsi="Arial" w:cs="Arial"/>
          <w:b/>
          <w:bCs/>
          <w:snapToGrid w:val="0"/>
          <w:sz w:val="20"/>
        </w:rPr>
        <w:t xml:space="preserve">: </w:t>
      </w:r>
      <w:r w:rsidR="004D3BA6" w:rsidRPr="004D3BA6">
        <w:rPr>
          <w:rFonts w:ascii="Arial" w:hAnsi="Arial" w:cs="Arial"/>
          <w:bCs/>
          <w:snapToGrid w:val="0"/>
          <w:sz w:val="20"/>
        </w:rPr>
        <w:t xml:space="preserve">Trattasi di partite creditorie </w:t>
      </w:r>
      <w:r w:rsidR="001E0FA2">
        <w:rPr>
          <w:rFonts w:ascii="Arial" w:hAnsi="Arial" w:cs="Arial"/>
          <w:bCs/>
          <w:snapToGrid w:val="0"/>
          <w:sz w:val="20"/>
        </w:rPr>
        <w:t xml:space="preserve">maturate dalla società controllata ANM S.p.A. </w:t>
      </w:r>
      <w:r w:rsidR="004D3BA6" w:rsidRPr="004D3BA6">
        <w:rPr>
          <w:rFonts w:ascii="Arial" w:hAnsi="Arial" w:cs="Arial"/>
          <w:bCs/>
          <w:snapToGrid w:val="0"/>
          <w:sz w:val="20"/>
        </w:rPr>
        <w:t>nei confronti del Ministero del Lavoro e delle Politiche Sociali per euro 8.709 mila, per l’ammontare richiesto a copertura degli oneri di malattia maturati negli esercizi 2014-2018, secondo quanto previsto dalla Legge Finanziaria 2006. Tali crediti possono essere compensati con i contributi dovuti all’Inps solo a seguito di un apposito decreto emanato da parte del già menzionato Ministero. Nel presente esercizio è stato rilevato l’importo a copertura oneri malattia 2018 nella misura del 100% pari a 1.603 €/000, confermata dall’Associazione di categoria ASSTRA.  È stato compensato il credito 2013 di 2.038 €/000 a seguito apposito decreto e in sede di versamento contributi erariali /previdenziali. Pertanto, al 31 dicembre 2019, rimangono ancora da incassare/compensare le quote relative ai finanziamenti oneri malattia 2014-2018 (8.709 €/000) nelle misure che saranno stabilite dal Ministero.</w:t>
      </w:r>
      <w:r w:rsidR="00BF64DB" w:rsidRPr="004D3BA6">
        <w:rPr>
          <w:rFonts w:ascii="Arial" w:hAnsi="Arial" w:cs="Arial"/>
          <w:snapToGrid w:val="0"/>
          <w:sz w:val="20"/>
        </w:rPr>
        <w:t xml:space="preserve"> </w:t>
      </w:r>
      <w:r w:rsidR="001E0FA2" w:rsidRPr="001E0FA2">
        <w:rPr>
          <w:rFonts w:ascii="Arial" w:hAnsi="Arial" w:cs="Arial"/>
          <w:snapToGrid w:val="0"/>
          <w:sz w:val="20"/>
        </w:rPr>
        <w:t xml:space="preserve">Sulla base di tali elementi, anche tenuto conto delle tempistiche con cui in precedenza la </w:t>
      </w:r>
      <w:r w:rsidR="001E0FA2">
        <w:rPr>
          <w:rFonts w:ascii="Arial" w:hAnsi="Arial" w:cs="Arial"/>
          <w:snapToGrid w:val="0"/>
          <w:sz w:val="20"/>
        </w:rPr>
        <w:t>s</w:t>
      </w:r>
      <w:r w:rsidR="001E0FA2" w:rsidRPr="001E0FA2">
        <w:rPr>
          <w:rFonts w:ascii="Arial" w:hAnsi="Arial" w:cs="Arial"/>
          <w:snapToGrid w:val="0"/>
          <w:sz w:val="20"/>
        </w:rPr>
        <w:t>ocietà</w:t>
      </w:r>
      <w:r w:rsidR="001E0FA2">
        <w:rPr>
          <w:rFonts w:ascii="Arial" w:hAnsi="Arial" w:cs="Arial"/>
          <w:snapToGrid w:val="0"/>
          <w:sz w:val="20"/>
        </w:rPr>
        <w:t xml:space="preserve"> controllata</w:t>
      </w:r>
      <w:r w:rsidR="001E0FA2" w:rsidRPr="001E0FA2">
        <w:rPr>
          <w:rFonts w:ascii="Arial" w:hAnsi="Arial" w:cs="Arial"/>
          <w:snapToGrid w:val="0"/>
          <w:sz w:val="20"/>
        </w:rPr>
        <w:t xml:space="preserve"> ha potuto compensare le partite pregresse, nelle more della emanazione degli ulteriori decreti da parte del Ministero competente, </w:t>
      </w:r>
      <w:r w:rsidR="001E0FA2">
        <w:rPr>
          <w:rFonts w:ascii="Arial" w:hAnsi="Arial" w:cs="Arial"/>
          <w:snapToGrid w:val="0"/>
          <w:sz w:val="20"/>
        </w:rPr>
        <w:t>si ritiengono</w:t>
      </w:r>
      <w:r w:rsidR="001E0FA2" w:rsidRPr="001E0FA2">
        <w:rPr>
          <w:rFonts w:ascii="Arial" w:hAnsi="Arial" w:cs="Arial"/>
          <w:snapToGrid w:val="0"/>
          <w:sz w:val="20"/>
        </w:rPr>
        <w:t xml:space="preserve"> certi ed esigibili tali crediti</w:t>
      </w:r>
      <w:r w:rsidR="001E0FA2">
        <w:rPr>
          <w:rFonts w:ascii="Arial" w:hAnsi="Arial" w:cs="Arial"/>
          <w:snapToGrid w:val="0"/>
          <w:sz w:val="20"/>
        </w:rPr>
        <w:t>.</w:t>
      </w:r>
    </w:p>
    <w:p w14:paraId="653865A3" w14:textId="77777777" w:rsidR="00EE474C" w:rsidRPr="00EE474C" w:rsidRDefault="00660BD8" w:rsidP="0049512E">
      <w:pPr>
        <w:widowControl w:val="0"/>
        <w:numPr>
          <w:ilvl w:val="0"/>
          <w:numId w:val="11"/>
        </w:numPr>
        <w:spacing w:before="120" w:after="120"/>
        <w:jc w:val="both"/>
        <w:rPr>
          <w:rFonts w:ascii="Arial" w:hAnsi="Arial" w:cs="Arial"/>
          <w:snapToGrid w:val="0"/>
          <w:sz w:val="20"/>
        </w:rPr>
      </w:pPr>
      <w:r w:rsidRPr="00EE474C">
        <w:rPr>
          <w:rFonts w:ascii="Arial" w:hAnsi="Arial" w:cs="Arial"/>
          <w:b/>
          <w:bCs/>
          <w:snapToGrid w:val="0"/>
          <w:sz w:val="20"/>
        </w:rPr>
        <w:t>Crediti per Contributi Regione in c.</w:t>
      </w:r>
      <w:r w:rsidR="004D3BA6" w:rsidRPr="00EE474C">
        <w:rPr>
          <w:rFonts w:ascii="Arial" w:hAnsi="Arial" w:cs="Arial"/>
          <w:b/>
          <w:bCs/>
          <w:snapToGrid w:val="0"/>
          <w:sz w:val="20"/>
        </w:rPr>
        <w:t xml:space="preserve"> </w:t>
      </w:r>
      <w:r w:rsidRPr="00EE474C">
        <w:rPr>
          <w:rFonts w:ascii="Arial" w:hAnsi="Arial" w:cs="Arial"/>
          <w:b/>
          <w:bCs/>
          <w:snapToGrid w:val="0"/>
          <w:sz w:val="20"/>
        </w:rPr>
        <w:t>impianti</w:t>
      </w:r>
      <w:r w:rsidR="00EE474C" w:rsidRPr="00EE474C">
        <w:rPr>
          <w:rFonts w:ascii="Arial" w:hAnsi="Arial" w:cs="Arial"/>
          <w:b/>
          <w:bCs/>
          <w:snapToGrid w:val="0"/>
          <w:sz w:val="20"/>
        </w:rPr>
        <w:t xml:space="preserve">. </w:t>
      </w:r>
      <w:r w:rsidR="00EE474C" w:rsidRPr="00EE474C">
        <w:rPr>
          <w:rFonts w:ascii="Arial" w:hAnsi="Arial" w:cs="Arial"/>
          <w:snapToGrid w:val="0"/>
          <w:sz w:val="20"/>
        </w:rPr>
        <w:t>Trattasi degli importi certificati dalla Regione Campania e da erogare per:</w:t>
      </w:r>
    </w:p>
    <w:p w14:paraId="3FA01055" w14:textId="77777777" w:rsidR="00EE474C" w:rsidRPr="00EE474C" w:rsidRDefault="00EE474C" w:rsidP="00EE474C">
      <w:pPr>
        <w:widowControl w:val="0"/>
        <w:spacing w:before="120" w:after="120"/>
        <w:ind w:left="720"/>
        <w:jc w:val="both"/>
        <w:rPr>
          <w:rFonts w:ascii="Arial" w:hAnsi="Arial" w:cs="Arial"/>
          <w:snapToGrid w:val="0"/>
          <w:sz w:val="20"/>
        </w:rPr>
      </w:pPr>
      <w:r w:rsidRPr="00EE474C">
        <w:rPr>
          <w:rFonts w:ascii="Arial" w:hAnsi="Arial" w:cs="Arial"/>
          <w:snapToGrid w:val="0"/>
          <w:sz w:val="20"/>
        </w:rPr>
        <w:sym w:font="Wingdings" w:char="F0D7"/>
      </w:r>
      <w:r w:rsidRPr="00EE474C">
        <w:rPr>
          <w:rFonts w:ascii="Arial" w:hAnsi="Arial" w:cs="Arial"/>
          <w:snapToGrid w:val="0"/>
          <w:sz w:val="20"/>
        </w:rPr>
        <w:t xml:space="preserve"> residuo per progetto Funicolare Chiaia (4.291 €/000);</w:t>
      </w:r>
    </w:p>
    <w:p w14:paraId="7A9F58DA" w14:textId="77777777" w:rsidR="00EE474C" w:rsidRPr="00EE474C" w:rsidRDefault="00EE474C" w:rsidP="00EE474C">
      <w:pPr>
        <w:widowControl w:val="0"/>
        <w:spacing w:before="120" w:after="120"/>
        <w:ind w:left="720"/>
        <w:jc w:val="both"/>
        <w:rPr>
          <w:rFonts w:ascii="Arial" w:hAnsi="Arial" w:cs="Arial"/>
          <w:snapToGrid w:val="0"/>
          <w:sz w:val="20"/>
        </w:rPr>
      </w:pPr>
      <w:r w:rsidRPr="00EE474C">
        <w:rPr>
          <w:rFonts w:ascii="Arial" w:hAnsi="Arial" w:cs="Arial"/>
          <w:snapToGrid w:val="0"/>
          <w:sz w:val="20"/>
        </w:rPr>
        <w:sym w:font="Wingdings" w:char="F0D7"/>
      </w:r>
      <w:r w:rsidRPr="00EE474C">
        <w:rPr>
          <w:rFonts w:ascii="Arial" w:hAnsi="Arial" w:cs="Arial"/>
          <w:snapToGrid w:val="0"/>
          <w:sz w:val="20"/>
        </w:rPr>
        <w:t xml:space="preserve"> residuo per messa in opera sistema sorveglianza (59 €/000);</w:t>
      </w:r>
    </w:p>
    <w:p w14:paraId="4E20AA71" w14:textId="77777777" w:rsidR="00EE474C" w:rsidRPr="00EE474C" w:rsidRDefault="00EE474C" w:rsidP="00EE474C">
      <w:pPr>
        <w:widowControl w:val="0"/>
        <w:spacing w:before="120" w:after="120"/>
        <w:ind w:left="720"/>
        <w:jc w:val="both"/>
        <w:rPr>
          <w:rFonts w:ascii="Arial" w:hAnsi="Arial" w:cs="Arial"/>
          <w:snapToGrid w:val="0"/>
          <w:sz w:val="20"/>
        </w:rPr>
      </w:pPr>
      <w:r w:rsidRPr="00EE474C">
        <w:rPr>
          <w:rFonts w:ascii="Arial" w:hAnsi="Arial" w:cs="Arial"/>
          <w:snapToGrid w:val="0"/>
          <w:sz w:val="20"/>
        </w:rPr>
        <w:sym w:font="Wingdings" w:char="F0D7"/>
      </w:r>
      <w:r w:rsidRPr="00EE474C">
        <w:rPr>
          <w:rFonts w:ascii="Arial" w:hAnsi="Arial" w:cs="Arial"/>
          <w:snapToGrid w:val="0"/>
          <w:sz w:val="20"/>
        </w:rPr>
        <w:t xml:space="preserve"> residuo progetto Funicolare Montesanto (56 €/000);</w:t>
      </w:r>
    </w:p>
    <w:p w14:paraId="563785A5" w14:textId="77777777" w:rsidR="00EE474C" w:rsidRPr="00EE474C" w:rsidRDefault="00EE474C" w:rsidP="00EE474C">
      <w:pPr>
        <w:widowControl w:val="0"/>
        <w:spacing w:before="120" w:after="120"/>
        <w:ind w:left="720"/>
        <w:jc w:val="both"/>
        <w:rPr>
          <w:rFonts w:ascii="Arial" w:hAnsi="Arial" w:cs="Arial"/>
          <w:snapToGrid w:val="0"/>
          <w:sz w:val="20"/>
        </w:rPr>
      </w:pPr>
      <w:r w:rsidRPr="00EE474C">
        <w:rPr>
          <w:rFonts w:ascii="Arial" w:hAnsi="Arial" w:cs="Arial"/>
          <w:snapToGrid w:val="0"/>
          <w:sz w:val="20"/>
        </w:rPr>
        <w:sym w:font="Wingdings" w:char="F0D7"/>
      </w:r>
      <w:r w:rsidRPr="00EE474C">
        <w:rPr>
          <w:rFonts w:ascii="Arial" w:hAnsi="Arial" w:cs="Arial"/>
          <w:snapToGrid w:val="0"/>
          <w:sz w:val="20"/>
        </w:rPr>
        <w:t xml:space="preserve"> residuo progetto Funicolare Mergellina (285 €/000);</w:t>
      </w:r>
    </w:p>
    <w:p w14:paraId="2B0EE78E" w14:textId="77777777" w:rsidR="00BF64DB" w:rsidRDefault="00EE474C" w:rsidP="00EE474C">
      <w:pPr>
        <w:widowControl w:val="0"/>
        <w:spacing w:before="120" w:after="120"/>
        <w:ind w:left="720"/>
        <w:jc w:val="both"/>
        <w:rPr>
          <w:rFonts w:ascii="Arial" w:hAnsi="Arial" w:cs="Arial"/>
          <w:snapToGrid w:val="0"/>
          <w:sz w:val="20"/>
        </w:rPr>
      </w:pPr>
      <w:r w:rsidRPr="00EE474C">
        <w:rPr>
          <w:rFonts w:ascii="Arial" w:hAnsi="Arial" w:cs="Arial"/>
          <w:snapToGrid w:val="0"/>
          <w:sz w:val="20"/>
        </w:rPr>
        <w:sym w:font="Wingdings" w:char="F0D7"/>
      </w:r>
      <w:r w:rsidRPr="00EE474C">
        <w:rPr>
          <w:rFonts w:ascii="Arial" w:hAnsi="Arial" w:cs="Arial"/>
          <w:snapToGrid w:val="0"/>
          <w:sz w:val="20"/>
        </w:rPr>
        <w:t xml:space="preserve"> progetto sistema informatizzazione aziendale (220 €/000)</w:t>
      </w:r>
      <w:r w:rsidR="00BF64DB" w:rsidRPr="00BF64DB">
        <w:rPr>
          <w:rFonts w:ascii="Arial" w:hAnsi="Arial" w:cs="Arial"/>
          <w:snapToGrid w:val="0"/>
          <w:sz w:val="20"/>
        </w:rPr>
        <w:t>.</w:t>
      </w:r>
    </w:p>
    <w:tbl>
      <w:tblPr>
        <w:tblW w:w="13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gridCol w:w="4516"/>
      </w:tblGrid>
      <w:tr w:rsidR="00101342" w:rsidRPr="00101342" w14:paraId="3B138B29" w14:textId="77777777" w:rsidTr="00693B59">
        <w:trPr>
          <w:trHeight w:val="429"/>
        </w:trPr>
        <w:tc>
          <w:tcPr>
            <w:tcW w:w="13922" w:type="dxa"/>
            <w:gridSpan w:val="2"/>
            <w:tcBorders>
              <w:top w:val="nil"/>
              <w:left w:val="nil"/>
              <w:bottom w:val="nil"/>
              <w:right w:val="nil"/>
            </w:tcBorders>
            <w:shd w:val="clear" w:color="auto" w:fill="auto"/>
          </w:tcPr>
          <w:p w14:paraId="75D5F98A" w14:textId="745C6ACE" w:rsidR="00101342" w:rsidRPr="00101342" w:rsidRDefault="00101342" w:rsidP="0049512E">
            <w:pPr>
              <w:widowControl w:val="0"/>
              <w:spacing w:before="120" w:after="120"/>
              <w:ind w:left="720"/>
              <w:jc w:val="both"/>
              <w:rPr>
                <w:rFonts w:ascii="Arial" w:hAnsi="Arial" w:cs="Arial"/>
                <w:snapToGrid w:val="0"/>
                <w:sz w:val="20"/>
              </w:rPr>
            </w:pPr>
            <w:r w:rsidRPr="00101342">
              <w:rPr>
                <w:rFonts w:ascii="Arial" w:hAnsi="Arial" w:cs="Arial"/>
                <w:snapToGrid w:val="0"/>
                <w:sz w:val="20"/>
              </w:rPr>
              <w:t xml:space="preserve">Il credito nei confronti della </w:t>
            </w:r>
            <w:r w:rsidRPr="00101342">
              <w:rPr>
                <w:rFonts w:ascii="Arial" w:hAnsi="Arial" w:cs="Arial"/>
                <w:b/>
                <w:i/>
                <w:snapToGrid w:val="0"/>
                <w:sz w:val="20"/>
              </w:rPr>
              <w:t>Regione Campania</w:t>
            </w:r>
            <w:r w:rsidRPr="00101342">
              <w:rPr>
                <w:rFonts w:ascii="Arial" w:hAnsi="Arial" w:cs="Arial"/>
                <w:snapToGrid w:val="0"/>
                <w:sz w:val="20"/>
              </w:rPr>
              <w:t xml:space="preserve"> per 4.912</w:t>
            </w:r>
            <w:r w:rsidRPr="00101342">
              <w:rPr>
                <w:rFonts w:ascii="Arial" w:hAnsi="Arial" w:cs="Arial"/>
                <w:bCs/>
                <w:i/>
                <w:snapToGrid w:val="0"/>
                <w:sz w:val="20"/>
              </w:rPr>
              <w:t xml:space="preserve"> </w:t>
            </w:r>
            <w:r w:rsidR="00FA68F4">
              <w:rPr>
                <w:rFonts w:ascii="Arial" w:hAnsi="Arial" w:cs="Arial"/>
                <w:bCs/>
                <w:i/>
                <w:snapToGrid w:val="0"/>
                <w:sz w:val="20"/>
              </w:rPr>
              <w:t>€/000</w:t>
            </w:r>
            <w:r w:rsidRPr="00101342">
              <w:rPr>
                <w:rFonts w:ascii="Arial" w:hAnsi="Arial" w:cs="Arial"/>
                <w:snapToGrid w:val="0"/>
                <w:sz w:val="20"/>
              </w:rPr>
              <w:t xml:space="preserve"> risulta non ancora incassato, </w:t>
            </w:r>
          </w:p>
          <w:p w14:paraId="2CD323DC" w14:textId="77777777" w:rsidR="00101342" w:rsidRPr="00101342" w:rsidRDefault="00101342" w:rsidP="0049512E">
            <w:pPr>
              <w:widowControl w:val="0"/>
              <w:spacing w:before="120" w:after="120"/>
              <w:ind w:left="720"/>
              <w:jc w:val="both"/>
              <w:rPr>
                <w:rFonts w:ascii="Arial" w:hAnsi="Arial" w:cs="Arial"/>
                <w:b/>
                <w:bCs/>
                <w:snapToGrid w:val="0"/>
                <w:sz w:val="20"/>
              </w:rPr>
            </w:pPr>
            <w:r w:rsidRPr="0049512E">
              <w:rPr>
                <w:rFonts w:ascii="Arial" w:hAnsi="Arial" w:cs="Arial"/>
                <w:snapToGrid w:val="0"/>
                <w:sz w:val="20"/>
              </w:rPr>
              <w:t>tuttavia,</w:t>
            </w:r>
            <w:r w:rsidRPr="00101342">
              <w:rPr>
                <w:rFonts w:ascii="Arial" w:hAnsi="Arial" w:cs="Arial"/>
                <w:snapToGrid w:val="0"/>
                <w:sz w:val="20"/>
              </w:rPr>
              <w:t xml:space="preserve"> alla data attuale si ritiene il credito certo ed esigibile. </w:t>
            </w:r>
          </w:p>
        </w:tc>
      </w:tr>
      <w:tr w:rsidR="00101342" w:rsidRPr="00101342" w14:paraId="270D2870" w14:textId="77777777" w:rsidTr="00693B59">
        <w:trPr>
          <w:gridAfter w:val="1"/>
          <w:wAfter w:w="4516" w:type="dxa"/>
          <w:trHeight w:val="1225"/>
        </w:trPr>
        <w:tc>
          <w:tcPr>
            <w:tcW w:w="9406" w:type="dxa"/>
            <w:tcBorders>
              <w:top w:val="nil"/>
              <w:left w:val="nil"/>
              <w:bottom w:val="nil"/>
              <w:right w:val="nil"/>
            </w:tcBorders>
            <w:shd w:val="clear" w:color="auto" w:fill="auto"/>
          </w:tcPr>
          <w:p w14:paraId="77CE6E5F" w14:textId="26C79263" w:rsidR="00101342" w:rsidRPr="00101342" w:rsidRDefault="00101342" w:rsidP="0049512E">
            <w:pPr>
              <w:widowControl w:val="0"/>
              <w:spacing w:before="120" w:after="120"/>
              <w:ind w:left="720"/>
              <w:jc w:val="both"/>
              <w:rPr>
                <w:rFonts w:ascii="Arial" w:hAnsi="Arial" w:cs="Arial"/>
                <w:bCs/>
                <w:snapToGrid w:val="0"/>
                <w:sz w:val="20"/>
              </w:rPr>
            </w:pPr>
            <w:r w:rsidRPr="00101342">
              <w:rPr>
                <w:rFonts w:ascii="Arial" w:hAnsi="Arial" w:cs="Arial"/>
                <w:bCs/>
                <w:snapToGrid w:val="0"/>
                <w:sz w:val="20"/>
              </w:rPr>
              <w:t xml:space="preserve">Nel presente esercizio è stato incassato il credito di 2.533 </w:t>
            </w:r>
            <w:r w:rsidR="00FA68F4">
              <w:rPr>
                <w:rFonts w:ascii="Arial" w:hAnsi="Arial" w:cs="Arial"/>
                <w:bCs/>
                <w:i/>
                <w:snapToGrid w:val="0"/>
                <w:sz w:val="20"/>
              </w:rPr>
              <w:t>€/000</w:t>
            </w:r>
            <w:r w:rsidRPr="0049512E">
              <w:rPr>
                <w:rFonts w:ascii="Arial" w:hAnsi="Arial" w:cs="Arial"/>
                <w:bCs/>
                <w:snapToGrid w:val="0"/>
                <w:sz w:val="20"/>
              </w:rPr>
              <w:t>.</w:t>
            </w:r>
            <w:r w:rsidRPr="00101342">
              <w:rPr>
                <w:rFonts w:ascii="Arial" w:hAnsi="Arial" w:cs="Arial"/>
                <w:bCs/>
                <w:snapToGrid w:val="0"/>
                <w:sz w:val="20"/>
              </w:rPr>
              <w:t xml:space="preserve"> Il credito fu rilevato nel 2018 verso la Regione Campania in forza della sentenza 3487/2018 del Consiglio di Stato </w:t>
            </w:r>
            <w:r w:rsidRPr="0049512E">
              <w:rPr>
                <w:rFonts w:ascii="Arial" w:hAnsi="Arial" w:cs="Arial"/>
                <w:bCs/>
                <w:snapToGrid w:val="0"/>
                <w:sz w:val="20"/>
              </w:rPr>
              <w:t>e che</w:t>
            </w:r>
            <w:r w:rsidRPr="00101342">
              <w:rPr>
                <w:rFonts w:ascii="Arial" w:hAnsi="Arial" w:cs="Arial"/>
                <w:bCs/>
                <w:snapToGrid w:val="0"/>
                <w:sz w:val="20"/>
              </w:rPr>
              <w:t xml:space="preserve"> ha accolto </w:t>
            </w:r>
            <w:r w:rsidRPr="00101342">
              <w:rPr>
                <w:rFonts w:ascii="Arial" w:hAnsi="Arial" w:cs="Arial"/>
                <w:snapToGrid w:val="0"/>
                <w:sz w:val="20"/>
              </w:rPr>
              <w:t>il ricorso di ANM e Comune di Napoli per l’ottemperanza della sentenza n. 4451/2017</w:t>
            </w:r>
            <w:r w:rsidRPr="00101342">
              <w:rPr>
                <w:rFonts w:ascii="Arial" w:hAnsi="Arial" w:cs="Arial"/>
                <w:bCs/>
                <w:snapToGrid w:val="0"/>
                <w:sz w:val="20"/>
              </w:rPr>
              <w:t xml:space="preserve"> </w:t>
            </w:r>
            <w:r w:rsidRPr="00101342">
              <w:rPr>
                <w:rFonts w:ascii="Arial" w:hAnsi="Arial" w:cs="Arial"/>
                <w:snapToGrid w:val="0"/>
                <w:sz w:val="20"/>
              </w:rPr>
              <w:t>e l’annullamento della DGR 158/2017 e dei decreti dirigenziali n. 51, 12 e 36 della Regione per nullità da elusione/mancata esecuzione</w:t>
            </w:r>
            <w:r w:rsidRPr="00101342">
              <w:rPr>
                <w:rFonts w:ascii="Arial" w:hAnsi="Arial" w:cs="Arial"/>
                <w:bCs/>
                <w:snapToGrid w:val="0"/>
                <w:sz w:val="20"/>
              </w:rPr>
              <w:t xml:space="preserve"> </w:t>
            </w:r>
            <w:r w:rsidRPr="00101342">
              <w:rPr>
                <w:rFonts w:ascii="Arial" w:hAnsi="Arial" w:cs="Arial"/>
                <w:snapToGrid w:val="0"/>
                <w:sz w:val="20"/>
              </w:rPr>
              <w:t>del giudicato. Il Consiglio di Stato aveva disposto con ordinanza n. 6069/2017 una verifica ex art. 66 cp.a.. La verifica è stata effettuata dal Commissario ad acta dott. Gianfranco D’Angelo, nominato</w:t>
            </w:r>
            <w:r w:rsidRPr="00101342">
              <w:rPr>
                <w:rFonts w:ascii="Arial" w:hAnsi="Arial" w:cs="Arial"/>
                <w:bCs/>
                <w:snapToGrid w:val="0"/>
                <w:sz w:val="20"/>
              </w:rPr>
              <w:t xml:space="preserve"> </w:t>
            </w:r>
            <w:r w:rsidRPr="00101342">
              <w:rPr>
                <w:rFonts w:ascii="Arial" w:hAnsi="Arial" w:cs="Arial"/>
                <w:snapToGrid w:val="0"/>
                <w:sz w:val="20"/>
              </w:rPr>
              <w:t xml:space="preserve">con decreto del Prefetto di Napoli prot. 9039 del </w:t>
            </w:r>
            <w:r w:rsidRPr="00101342">
              <w:rPr>
                <w:rFonts w:ascii="Arial" w:hAnsi="Arial" w:cs="Arial"/>
                <w:snapToGrid w:val="0"/>
                <w:sz w:val="20"/>
              </w:rPr>
              <w:lastRenderedPageBreak/>
              <w:t xml:space="preserve">12.01.2018. Con la delibera commissariale n. </w:t>
            </w:r>
            <w:r w:rsidRPr="0049512E">
              <w:rPr>
                <w:rFonts w:ascii="Arial" w:hAnsi="Arial" w:cs="Arial"/>
                <w:snapToGrid w:val="0"/>
                <w:sz w:val="20"/>
              </w:rPr>
              <w:t>1 del</w:t>
            </w:r>
            <w:r w:rsidRPr="00101342">
              <w:rPr>
                <w:rFonts w:ascii="Arial" w:hAnsi="Arial" w:cs="Arial"/>
                <w:snapToGrid w:val="0"/>
                <w:sz w:val="20"/>
              </w:rPr>
              <w:t xml:space="preserve"> 16 maggio 2019 è stato riconosciuto l’importo di 2.538 €/</w:t>
            </w:r>
            <w:r w:rsidRPr="0049512E">
              <w:rPr>
                <w:rFonts w:ascii="Arial" w:hAnsi="Arial" w:cs="Arial"/>
                <w:snapToGrid w:val="0"/>
                <w:sz w:val="20"/>
              </w:rPr>
              <w:t>000 con</w:t>
            </w:r>
            <w:r w:rsidRPr="00101342">
              <w:rPr>
                <w:rFonts w:ascii="Arial" w:hAnsi="Arial" w:cs="Arial"/>
                <w:snapToGrid w:val="0"/>
                <w:sz w:val="20"/>
              </w:rPr>
              <w:t xml:space="preserve"> l’impegno a liquidare lo stesso nel 2019.</w:t>
            </w:r>
          </w:p>
          <w:p w14:paraId="456D217B" w14:textId="77777777" w:rsidR="00101342" w:rsidRPr="00101342" w:rsidRDefault="00101342" w:rsidP="0049512E">
            <w:pPr>
              <w:widowControl w:val="0"/>
              <w:spacing w:before="120" w:after="120"/>
              <w:ind w:left="720"/>
              <w:jc w:val="both"/>
              <w:rPr>
                <w:rFonts w:ascii="Arial" w:hAnsi="Arial" w:cs="Arial"/>
                <w:snapToGrid w:val="0"/>
                <w:sz w:val="20"/>
              </w:rPr>
            </w:pPr>
            <w:r w:rsidRPr="00101342">
              <w:rPr>
                <w:rFonts w:ascii="Arial" w:hAnsi="Arial" w:cs="Arial"/>
                <w:snapToGrid w:val="0"/>
                <w:sz w:val="20"/>
              </w:rPr>
              <w:t xml:space="preserve">La verifica ha </w:t>
            </w:r>
            <w:r w:rsidRPr="0049512E">
              <w:rPr>
                <w:rFonts w:ascii="Arial" w:hAnsi="Arial" w:cs="Arial"/>
                <w:snapToGrid w:val="0"/>
                <w:sz w:val="20"/>
              </w:rPr>
              <w:t>riconosciuto le</w:t>
            </w:r>
            <w:r w:rsidRPr="00101342">
              <w:rPr>
                <w:rFonts w:ascii="Arial" w:hAnsi="Arial" w:cs="Arial"/>
                <w:snapToGrid w:val="0"/>
                <w:sz w:val="20"/>
              </w:rPr>
              <w:t xml:space="preserve"> seguenti ulteriori somme a favore di ANM rispetto a quanto già riconosciuto dalla Regione Campania con DD 51/2017:</w:t>
            </w:r>
          </w:p>
          <w:p w14:paraId="06AA45FA" w14:textId="77777777" w:rsidR="00101342" w:rsidRPr="00101342" w:rsidRDefault="00101342" w:rsidP="0049512E">
            <w:pPr>
              <w:widowControl w:val="0"/>
              <w:numPr>
                <w:ilvl w:val="0"/>
                <w:numId w:val="35"/>
              </w:numPr>
              <w:spacing w:before="120" w:after="120"/>
              <w:jc w:val="both"/>
              <w:rPr>
                <w:rFonts w:ascii="Arial" w:hAnsi="Arial" w:cs="Arial"/>
                <w:snapToGrid w:val="0"/>
                <w:sz w:val="20"/>
              </w:rPr>
            </w:pPr>
            <w:r w:rsidRPr="00101342">
              <w:rPr>
                <w:rFonts w:ascii="Arial" w:hAnsi="Arial" w:cs="Arial"/>
                <w:snapToGrid w:val="0"/>
                <w:sz w:val="20"/>
              </w:rPr>
              <w:t>quota servizi: € 376.556;</w:t>
            </w:r>
          </w:p>
          <w:p w14:paraId="4D4B3693" w14:textId="77777777" w:rsidR="00101342" w:rsidRPr="00101342" w:rsidRDefault="00101342" w:rsidP="0049512E">
            <w:pPr>
              <w:widowControl w:val="0"/>
              <w:numPr>
                <w:ilvl w:val="0"/>
                <w:numId w:val="35"/>
              </w:numPr>
              <w:spacing w:before="120" w:after="120"/>
              <w:jc w:val="both"/>
              <w:rPr>
                <w:rFonts w:ascii="Arial" w:hAnsi="Arial" w:cs="Arial"/>
                <w:snapToGrid w:val="0"/>
                <w:sz w:val="20"/>
              </w:rPr>
            </w:pPr>
            <w:r w:rsidRPr="00101342">
              <w:rPr>
                <w:rFonts w:ascii="Arial" w:hAnsi="Arial" w:cs="Arial"/>
                <w:snapToGrid w:val="0"/>
                <w:sz w:val="20"/>
              </w:rPr>
              <w:t>quota contributo CCNL: € 2.156.457</w:t>
            </w:r>
          </w:p>
          <w:p w14:paraId="59798C6D" w14:textId="5147B83B" w:rsidR="00101342" w:rsidRPr="00FA68F4" w:rsidRDefault="00101342" w:rsidP="00FA68F4">
            <w:pPr>
              <w:widowControl w:val="0"/>
              <w:spacing w:before="120" w:after="120"/>
              <w:ind w:left="720"/>
              <w:jc w:val="both"/>
              <w:rPr>
                <w:rFonts w:ascii="Arial" w:hAnsi="Arial" w:cs="Arial"/>
                <w:b/>
                <w:bCs/>
                <w:snapToGrid w:val="0"/>
                <w:sz w:val="20"/>
              </w:rPr>
            </w:pPr>
            <w:r w:rsidRPr="00101342">
              <w:rPr>
                <w:rFonts w:ascii="Arial" w:hAnsi="Arial" w:cs="Arial"/>
                <w:snapToGrid w:val="0"/>
                <w:sz w:val="20"/>
              </w:rPr>
              <w:t xml:space="preserve">per un totale di 2.533 </w:t>
            </w:r>
            <w:r w:rsidR="00FA68F4">
              <w:rPr>
                <w:rFonts w:ascii="Arial" w:hAnsi="Arial" w:cs="Arial"/>
                <w:bCs/>
                <w:i/>
                <w:snapToGrid w:val="0"/>
                <w:sz w:val="20"/>
              </w:rPr>
              <w:t>€/000</w:t>
            </w:r>
            <w:r w:rsidRPr="00101342">
              <w:rPr>
                <w:rFonts w:ascii="Arial" w:hAnsi="Arial" w:cs="Arial"/>
                <w:bCs/>
                <w:i/>
                <w:snapToGrid w:val="0"/>
                <w:sz w:val="20"/>
              </w:rPr>
              <w:t xml:space="preserve">. </w:t>
            </w:r>
            <w:r w:rsidRPr="00101342">
              <w:rPr>
                <w:rFonts w:ascii="Arial" w:hAnsi="Arial" w:cs="Arial"/>
                <w:bCs/>
                <w:snapToGrid w:val="0"/>
                <w:sz w:val="20"/>
              </w:rPr>
              <w:t>Entrambe incassate nel 2019.</w:t>
            </w:r>
          </w:p>
        </w:tc>
      </w:tr>
    </w:tbl>
    <w:p w14:paraId="3ED50750" w14:textId="77777777" w:rsidR="00436209" w:rsidRDefault="00660BD8" w:rsidP="00526C0B">
      <w:pPr>
        <w:widowControl w:val="0"/>
        <w:spacing w:before="120" w:after="120"/>
        <w:jc w:val="both"/>
        <w:rPr>
          <w:rFonts w:ascii="Arial" w:hAnsi="Arial" w:cs="Arial"/>
          <w:snapToGrid w:val="0"/>
          <w:sz w:val="20"/>
        </w:rPr>
      </w:pPr>
      <w:r w:rsidRPr="00660BD8">
        <w:rPr>
          <w:rFonts w:ascii="Arial" w:hAnsi="Arial" w:cs="Arial"/>
          <w:snapToGrid w:val="0"/>
          <w:sz w:val="20"/>
        </w:rPr>
        <w:lastRenderedPageBreak/>
        <w:t xml:space="preserve">I crediti </w:t>
      </w:r>
      <w:r w:rsidRPr="00660BD8">
        <w:rPr>
          <w:rFonts w:ascii="Arial" w:hAnsi="Arial" w:cs="Arial"/>
          <w:b/>
          <w:bCs/>
          <w:snapToGrid w:val="0"/>
          <w:sz w:val="20"/>
        </w:rPr>
        <w:t xml:space="preserve">esigibili oltre l'esercizio </w:t>
      </w:r>
      <w:r w:rsidRPr="00660BD8">
        <w:rPr>
          <w:rFonts w:ascii="Arial" w:hAnsi="Arial" w:cs="Arial"/>
          <w:bCs/>
          <w:snapToGrid w:val="0"/>
          <w:sz w:val="20"/>
        </w:rPr>
        <w:t>fanno riferimento escl</w:t>
      </w:r>
      <w:r>
        <w:rPr>
          <w:rFonts w:ascii="Arial" w:hAnsi="Arial" w:cs="Arial"/>
          <w:bCs/>
          <w:snapToGrid w:val="0"/>
          <w:sz w:val="20"/>
        </w:rPr>
        <w:t>usivamente alla controllata ANM</w:t>
      </w:r>
      <w:r w:rsidR="00436209" w:rsidRPr="00660BD8">
        <w:rPr>
          <w:rFonts w:ascii="Arial" w:hAnsi="Arial" w:cs="Arial"/>
          <w:snapToGrid w:val="0"/>
          <w:sz w:val="20"/>
        </w:rPr>
        <w:t>. Di seguito il dettaglio:</w:t>
      </w:r>
    </w:p>
    <w:p w14:paraId="0D864B80" w14:textId="363DD5EA" w:rsidR="00121465" w:rsidRPr="00D50A26" w:rsidRDefault="00121465" w:rsidP="00121465">
      <w:pPr>
        <w:pStyle w:val="Intestazione"/>
        <w:tabs>
          <w:tab w:val="clear" w:pos="4819"/>
          <w:tab w:val="clear" w:pos="9638"/>
        </w:tabs>
        <w:spacing w:line="360" w:lineRule="auto"/>
        <w:ind w:left="4254" w:firstLine="709"/>
        <w:jc w:val="both"/>
        <w:rPr>
          <w:i/>
        </w:rPr>
      </w:pPr>
      <w:r w:rsidRPr="00D50A26">
        <w:t xml:space="preserve">               </w:t>
      </w:r>
      <w:r w:rsidRPr="00D50A26">
        <w:rPr>
          <w:i/>
        </w:rPr>
        <w:t xml:space="preserve">Euro/migliaia            </w:t>
      </w:r>
    </w:p>
    <w:tbl>
      <w:tblPr>
        <w:tblW w:w="8717" w:type="dxa"/>
        <w:tblBorders>
          <w:top w:val="single" w:sz="4" w:space="0" w:color="auto"/>
          <w:bottom w:val="double" w:sz="4" w:space="0" w:color="auto"/>
        </w:tblBorders>
        <w:tblLayout w:type="fixed"/>
        <w:tblCellMar>
          <w:left w:w="70" w:type="dxa"/>
          <w:right w:w="70" w:type="dxa"/>
        </w:tblCellMar>
        <w:tblLook w:val="0000" w:firstRow="0" w:lastRow="0" w:firstColumn="0" w:lastColumn="0" w:noHBand="0" w:noVBand="0"/>
      </w:tblPr>
      <w:tblGrid>
        <w:gridCol w:w="5032"/>
        <w:gridCol w:w="426"/>
        <w:gridCol w:w="1700"/>
        <w:gridCol w:w="1559"/>
      </w:tblGrid>
      <w:tr w:rsidR="00121465" w:rsidRPr="004D59DC" w14:paraId="11CBCA7D" w14:textId="77777777" w:rsidTr="00121465">
        <w:tc>
          <w:tcPr>
            <w:tcW w:w="5032" w:type="dxa"/>
            <w:tcBorders>
              <w:top w:val="single" w:sz="4" w:space="0" w:color="auto"/>
              <w:bottom w:val="single" w:sz="4" w:space="0" w:color="auto"/>
            </w:tcBorders>
          </w:tcPr>
          <w:p w14:paraId="740B3341" w14:textId="77777777" w:rsidR="00121465" w:rsidRPr="004D59DC" w:rsidRDefault="00121465" w:rsidP="0049512E">
            <w:pPr>
              <w:spacing w:line="360" w:lineRule="auto"/>
              <w:jc w:val="both"/>
              <w:rPr>
                <w:b/>
                <w:sz w:val="22"/>
                <w:szCs w:val="22"/>
              </w:rPr>
            </w:pPr>
            <w:bookmarkStart w:id="2" w:name="_Hlk59210774"/>
          </w:p>
        </w:tc>
        <w:tc>
          <w:tcPr>
            <w:tcW w:w="426" w:type="dxa"/>
            <w:tcBorders>
              <w:top w:val="single" w:sz="4" w:space="0" w:color="auto"/>
              <w:bottom w:val="single" w:sz="4" w:space="0" w:color="auto"/>
            </w:tcBorders>
          </w:tcPr>
          <w:p w14:paraId="6CBA48EF" w14:textId="77777777" w:rsidR="00121465" w:rsidRPr="004D59DC" w:rsidRDefault="00121465" w:rsidP="0049512E">
            <w:pPr>
              <w:spacing w:line="360" w:lineRule="auto"/>
              <w:jc w:val="both"/>
              <w:rPr>
                <w:b/>
                <w:sz w:val="22"/>
                <w:szCs w:val="22"/>
              </w:rPr>
            </w:pPr>
          </w:p>
        </w:tc>
        <w:tc>
          <w:tcPr>
            <w:tcW w:w="1700" w:type="dxa"/>
            <w:tcBorders>
              <w:top w:val="single" w:sz="4" w:space="0" w:color="auto"/>
              <w:bottom w:val="single" w:sz="4" w:space="0" w:color="auto"/>
            </w:tcBorders>
          </w:tcPr>
          <w:p w14:paraId="418CF0A3" w14:textId="77777777" w:rsidR="00121465" w:rsidRPr="004D59DC" w:rsidRDefault="00121465" w:rsidP="0049512E">
            <w:pPr>
              <w:spacing w:line="360" w:lineRule="auto"/>
              <w:jc w:val="both"/>
              <w:rPr>
                <w:b/>
                <w:sz w:val="22"/>
                <w:szCs w:val="22"/>
              </w:rPr>
            </w:pPr>
            <w:r w:rsidRPr="004D59DC">
              <w:rPr>
                <w:b/>
                <w:sz w:val="22"/>
                <w:szCs w:val="22"/>
              </w:rPr>
              <w:t xml:space="preserve">       Eser</w:t>
            </w:r>
            <w:r>
              <w:rPr>
                <w:b/>
                <w:sz w:val="22"/>
                <w:szCs w:val="22"/>
              </w:rPr>
              <w:t>cizio 19</w:t>
            </w:r>
          </w:p>
        </w:tc>
        <w:tc>
          <w:tcPr>
            <w:tcW w:w="1559" w:type="dxa"/>
            <w:tcBorders>
              <w:top w:val="single" w:sz="4" w:space="0" w:color="auto"/>
              <w:bottom w:val="single" w:sz="4" w:space="0" w:color="auto"/>
            </w:tcBorders>
          </w:tcPr>
          <w:p w14:paraId="56F861C6" w14:textId="77777777" w:rsidR="00121465" w:rsidRPr="004D59DC" w:rsidRDefault="00121465" w:rsidP="0049512E">
            <w:pPr>
              <w:spacing w:line="360" w:lineRule="auto"/>
              <w:jc w:val="both"/>
              <w:rPr>
                <w:b/>
                <w:sz w:val="22"/>
                <w:szCs w:val="22"/>
              </w:rPr>
            </w:pPr>
            <w:r w:rsidRPr="004D59DC">
              <w:rPr>
                <w:b/>
                <w:sz w:val="22"/>
                <w:szCs w:val="22"/>
              </w:rPr>
              <w:t xml:space="preserve">    </w:t>
            </w:r>
            <w:r>
              <w:rPr>
                <w:b/>
                <w:sz w:val="22"/>
                <w:szCs w:val="22"/>
              </w:rPr>
              <w:t>Esercizio 18</w:t>
            </w:r>
          </w:p>
        </w:tc>
      </w:tr>
      <w:tr w:rsidR="00121465" w:rsidRPr="004D59DC" w14:paraId="7D7BCD0C" w14:textId="77777777" w:rsidTr="00121465">
        <w:trPr>
          <w:trHeight w:val="394"/>
        </w:trPr>
        <w:tc>
          <w:tcPr>
            <w:tcW w:w="5032" w:type="dxa"/>
            <w:tcBorders>
              <w:top w:val="single" w:sz="4" w:space="0" w:color="auto"/>
            </w:tcBorders>
          </w:tcPr>
          <w:p w14:paraId="5223E3EB" w14:textId="77777777" w:rsidR="00121465" w:rsidRPr="004D59DC" w:rsidRDefault="00121465" w:rsidP="0049512E">
            <w:pPr>
              <w:pStyle w:val="Intestazione"/>
              <w:tabs>
                <w:tab w:val="clear" w:pos="4819"/>
                <w:tab w:val="clear" w:pos="9638"/>
              </w:tabs>
              <w:spacing w:line="360" w:lineRule="auto"/>
              <w:jc w:val="both"/>
              <w:rPr>
                <w:b/>
                <w:bCs/>
                <w:i/>
                <w:iCs/>
                <w:sz w:val="22"/>
                <w:szCs w:val="22"/>
              </w:rPr>
            </w:pPr>
            <w:r w:rsidRPr="004D59DC">
              <w:rPr>
                <w:b/>
                <w:bCs/>
                <w:i/>
                <w:iCs/>
                <w:sz w:val="22"/>
                <w:szCs w:val="22"/>
              </w:rPr>
              <w:t>Crediti verso altri</w:t>
            </w:r>
          </w:p>
          <w:p w14:paraId="45EB854A" w14:textId="77777777" w:rsidR="00121465" w:rsidRPr="004D59DC" w:rsidRDefault="00121465" w:rsidP="0049512E">
            <w:pPr>
              <w:pStyle w:val="Intestazione"/>
              <w:numPr>
                <w:ilvl w:val="0"/>
                <w:numId w:val="12"/>
              </w:numPr>
              <w:tabs>
                <w:tab w:val="clear" w:pos="1440"/>
                <w:tab w:val="clear" w:pos="4819"/>
                <w:tab w:val="clear" w:pos="9638"/>
                <w:tab w:val="num" w:pos="851"/>
              </w:tabs>
              <w:spacing w:line="360" w:lineRule="auto"/>
              <w:ind w:left="851" w:hanging="425"/>
              <w:jc w:val="both"/>
              <w:rPr>
                <w:sz w:val="22"/>
                <w:szCs w:val="22"/>
              </w:rPr>
            </w:pPr>
            <w:r w:rsidRPr="004D59DC">
              <w:rPr>
                <w:sz w:val="22"/>
                <w:szCs w:val="22"/>
              </w:rPr>
              <w:t>Credito vs Barcelona Tecnologia per progetto Centaur</w:t>
            </w:r>
          </w:p>
          <w:p w14:paraId="77653654" w14:textId="77777777" w:rsidR="00121465" w:rsidRPr="004D59DC" w:rsidRDefault="00121465" w:rsidP="0049512E">
            <w:pPr>
              <w:pStyle w:val="Intestazione"/>
              <w:numPr>
                <w:ilvl w:val="0"/>
                <w:numId w:val="12"/>
              </w:numPr>
              <w:tabs>
                <w:tab w:val="clear" w:pos="1440"/>
                <w:tab w:val="clear" w:pos="4819"/>
                <w:tab w:val="clear" w:pos="9638"/>
                <w:tab w:val="num" w:pos="851"/>
              </w:tabs>
              <w:spacing w:line="360" w:lineRule="auto"/>
              <w:ind w:left="851" w:hanging="425"/>
              <w:jc w:val="both"/>
              <w:rPr>
                <w:sz w:val="22"/>
                <w:szCs w:val="22"/>
              </w:rPr>
            </w:pPr>
            <w:r w:rsidRPr="004D59DC">
              <w:rPr>
                <w:sz w:val="22"/>
                <w:szCs w:val="22"/>
              </w:rPr>
              <w:t>Credito vs C&amp;T per esecuzione lodo arbitrale</w:t>
            </w:r>
          </w:p>
          <w:p w14:paraId="00E23B8A" w14:textId="77777777" w:rsidR="00121465" w:rsidRPr="004D59DC" w:rsidRDefault="00121465" w:rsidP="0049512E">
            <w:pPr>
              <w:pStyle w:val="Intestazione"/>
              <w:tabs>
                <w:tab w:val="clear" w:pos="4819"/>
                <w:tab w:val="clear" w:pos="9638"/>
                <w:tab w:val="num" w:pos="851"/>
              </w:tabs>
              <w:spacing w:line="360" w:lineRule="auto"/>
              <w:ind w:left="1134" w:hanging="425"/>
              <w:jc w:val="both"/>
              <w:rPr>
                <w:sz w:val="22"/>
                <w:szCs w:val="22"/>
              </w:rPr>
            </w:pPr>
            <w:r w:rsidRPr="004D59DC">
              <w:rPr>
                <w:sz w:val="22"/>
                <w:szCs w:val="22"/>
              </w:rPr>
              <w:t>- Fondo svalutazione credito verso altri</w:t>
            </w:r>
          </w:p>
        </w:tc>
        <w:tc>
          <w:tcPr>
            <w:tcW w:w="426" w:type="dxa"/>
            <w:tcBorders>
              <w:top w:val="single" w:sz="4" w:space="0" w:color="auto"/>
            </w:tcBorders>
          </w:tcPr>
          <w:p w14:paraId="0212DCE7" w14:textId="77777777" w:rsidR="00121465" w:rsidRPr="004D59DC" w:rsidRDefault="00121465" w:rsidP="0049512E">
            <w:pPr>
              <w:spacing w:line="360" w:lineRule="auto"/>
              <w:jc w:val="center"/>
              <w:rPr>
                <w:sz w:val="22"/>
                <w:szCs w:val="22"/>
              </w:rPr>
            </w:pPr>
          </w:p>
        </w:tc>
        <w:tc>
          <w:tcPr>
            <w:tcW w:w="1700" w:type="dxa"/>
            <w:tcBorders>
              <w:top w:val="single" w:sz="4" w:space="0" w:color="auto"/>
            </w:tcBorders>
          </w:tcPr>
          <w:p w14:paraId="28B12D23" w14:textId="77777777" w:rsidR="00121465" w:rsidRPr="004D59DC" w:rsidRDefault="00121465" w:rsidP="0049512E">
            <w:pPr>
              <w:spacing w:line="360" w:lineRule="auto"/>
              <w:jc w:val="center"/>
              <w:rPr>
                <w:sz w:val="22"/>
                <w:szCs w:val="22"/>
              </w:rPr>
            </w:pPr>
          </w:p>
          <w:p w14:paraId="301D64ED" w14:textId="77777777" w:rsidR="00121465" w:rsidRPr="004D59DC" w:rsidRDefault="00121465" w:rsidP="0049512E">
            <w:pPr>
              <w:spacing w:line="360" w:lineRule="auto"/>
              <w:jc w:val="center"/>
              <w:rPr>
                <w:sz w:val="22"/>
                <w:szCs w:val="22"/>
              </w:rPr>
            </w:pPr>
            <w:r w:rsidRPr="004D59DC">
              <w:rPr>
                <w:sz w:val="22"/>
                <w:szCs w:val="22"/>
              </w:rPr>
              <w:t>113</w:t>
            </w:r>
          </w:p>
          <w:p w14:paraId="72B5B50B" w14:textId="77777777" w:rsidR="00121465" w:rsidRPr="004D59DC" w:rsidRDefault="00121465" w:rsidP="0049512E">
            <w:pPr>
              <w:spacing w:line="360" w:lineRule="auto"/>
              <w:jc w:val="center"/>
              <w:rPr>
                <w:sz w:val="22"/>
                <w:szCs w:val="22"/>
              </w:rPr>
            </w:pPr>
          </w:p>
          <w:p w14:paraId="3FEF607E" w14:textId="77777777" w:rsidR="00121465" w:rsidRPr="004D59DC" w:rsidRDefault="00121465" w:rsidP="0049512E">
            <w:pPr>
              <w:spacing w:line="360" w:lineRule="auto"/>
              <w:jc w:val="center"/>
              <w:rPr>
                <w:sz w:val="22"/>
                <w:szCs w:val="22"/>
              </w:rPr>
            </w:pPr>
            <w:r>
              <w:rPr>
                <w:sz w:val="22"/>
                <w:szCs w:val="22"/>
              </w:rPr>
              <w:t>233</w:t>
            </w:r>
          </w:p>
          <w:p w14:paraId="5D559CCF" w14:textId="77777777" w:rsidR="00121465" w:rsidRPr="004D59DC" w:rsidRDefault="00121465" w:rsidP="0049512E">
            <w:pPr>
              <w:spacing w:line="360" w:lineRule="auto"/>
              <w:jc w:val="center"/>
              <w:rPr>
                <w:sz w:val="22"/>
                <w:szCs w:val="22"/>
              </w:rPr>
            </w:pPr>
            <w:r>
              <w:rPr>
                <w:sz w:val="22"/>
                <w:szCs w:val="22"/>
              </w:rPr>
              <w:t>-233</w:t>
            </w:r>
          </w:p>
        </w:tc>
        <w:tc>
          <w:tcPr>
            <w:tcW w:w="1559" w:type="dxa"/>
            <w:tcBorders>
              <w:top w:val="single" w:sz="4" w:space="0" w:color="auto"/>
            </w:tcBorders>
          </w:tcPr>
          <w:p w14:paraId="386DA5A3" w14:textId="77777777" w:rsidR="00121465" w:rsidRPr="004D59DC" w:rsidRDefault="00121465" w:rsidP="0049512E">
            <w:pPr>
              <w:spacing w:line="360" w:lineRule="auto"/>
              <w:jc w:val="center"/>
              <w:rPr>
                <w:sz w:val="22"/>
                <w:szCs w:val="22"/>
              </w:rPr>
            </w:pPr>
          </w:p>
          <w:p w14:paraId="61784264" w14:textId="77777777" w:rsidR="00121465" w:rsidRPr="004D59DC" w:rsidRDefault="00121465" w:rsidP="0049512E">
            <w:pPr>
              <w:spacing w:line="360" w:lineRule="auto"/>
              <w:jc w:val="center"/>
              <w:rPr>
                <w:sz w:val="22"/>
                <w:szCs w:val="22"/>
              </w:rPr>
            </w:pPr>
            <w:r w:rsidRPr="004D59DC">
              <w:rPr>
                <w:sz w:val="22"/>
                <w:szCs w:val="22"/>
              </w:rPr>
              <w:t>113</w:t>
            </w:r>
          </w:p>
          <w:p w14:paraId="5D97F0E9" w14:textId="77777777" w:rsidR="00121465" w:rsidRPr="004D59DC" w:rsidRDefault="00121465" w:rsidP="0049512E">
            <w:pPr>
              <w:spacing w:line="360" w:lineRule="auto"/>
              <w:jc w:val="center"/>
              <w:rPr>
                <w:sz w:val="22"/>
                <w:szCs w:val="22"/>
              </w:rPr>
            </w:pPr>
          </w:p>
          <w:p w14:paraId="2901FAC7" w14:textId="77777777" w:rsidR="00121465" w:rsidRPr="004D59DC" w:rsidRDefault="00121465" w:rsidP="0049512E">
            <w:pPr>
              <w:spacing w:line="360" w:lineRule="auto"/>
              <w:jc w:val="center"/>
              <w:rPr>
                <w:sz w:val="22"/>
                <w:szCs w:val="22"/>
              </w:rPr>
            </w:pPr>
            <w:r w:rsidRPr="004D59DC">
              <w:rPr>
                <w:sz w:val="22"/>
                <w:szCs w:val="22"/>
              </w:rPr>
              <w:t>311</w:t>
            </w:r>
          </w:p>
          <w:p w14:paraId="4BFE7FDB" w14:textId="77777777" w:rsidR="00121465" w:rsidRPr="004D59DC" w:rsidRDefault="00121465" w:rsidP="0049512E">
            <w:pPr>
              <w:spacing w:line="360" w:lineRule="auto"/>
              <w:jc w:val="center"/>
              <w:rPr>
                <w:sz w:val="22"/>
                <w:szCs w:val="22"/>
              </w:rPr>
            </w:pPr>
            <w:r>
              <w:rPr>
                <w:sz w:val="22"/>
                <w:szCs w:val="22"/>
              </w:rPr>
              <w:t>-233</w:t>
            </w:r>
          </w:p>
        </w:tc>
      </w:tr>
      <w:tr w:rsidR="00121465" w:rsidRPr="004D59DC" w14:paraId="1DC9FCBC" w14:textId="77777777" w:rsidTr="00121465">
        <w:trPr>
          <w:trHeight w:val="394"/>
        </w:trPr>
        <w:tc>
          <w:tcPr>
            <w:tcW w:w="5032" w:type="dxa"/>
          </w:tcPr>
          <w:p w14:paraId="1176330F" w14:textId="77777777" w:rsidR="00121465" w:rsidRDefault="00121465" w:rsidP="0049512E">
            <w:pPr>
              <w:pStyle w:val="Intestazione"/>
              <w:numPr>
                <w:ilvl w:val="0"/>
                <w:numId w:val="12"/>
              </w:numPr>
              <w:tabs>
                <w:tab w:val="clear" w:pos="1440"/>
                <w:tab w:val="clear" w:pos="4819"/>
                <w:tab w:val="clear" w:pos="9638"/>
                <w:tab w:val="num" w:pos="851"/>
              </w:tabs>
              <w:spacing w:line="360" w:lineRule="auto"/>
              <w:ind w:left="851" w:hanging="425"/>
              <w:jc w:val="both"/>
              <w:rPr>
                <w:sz w:val="22"/>
                <w:szCs w:val="22"/>
              </w:rPr>
            </w:pPr>
            <w:r>
              <w:rPr>
                <w:sz w:val="22"/>
                <w:szCs w:val="22"/>
              </w:rPr>
              <w:t>Cauzioni verso terzi</w:t>
            </w:r>
          </w:p>
          <w:p w14:paraId="7E9176ED" w14:textId="77777777" w:rsidR="00121465" w:rsidRPr="008A286A" w:rsidRDefault="00121465" w:rsidP="0049512E">
            <w:pPr>
              <w:pStyle w:val="Intestazione"/>
              <w:numPr>
                <w:ilvl w:val="0"/>
                <w:numId w:val="12"/>
              </w:numPr>
              <w:tabs>
                <w:tab w:val="clear" w:pos="1440"/>
                <w:tab w:val="clear" w:pos="4819"/>
                <w:tab w:val="clear" w:pos="9638"/>
                <w:tab w:val="num" w:pos="851"/>
              </w:tabs>
              <w:spacing w:line="360" w:lineRule="auto"/>
              <w:ind w:left="851" w:hanging="425"/>
              <w:jc w:val="both"/>
              <w:rPr>
                <w:sz w:val="22"/>
                <w:szCs w:val="22"/>
              </w:rPr>
            </w:pPr>
            <w:r>
              <w:rPr>
                <w:sz w:val="22"/>
                <w:szCs w:val="22"/>
              </w:rPr>
              <w:t>Credito verso Comune Portici Tares</w:t>
            </w:r>
          </w:p>
        </w:tc>
        <w:tc>
          <w:tcPr>
            <w:tcW w:w="426" w:type="dxa"/>
          </w:tcPr>
          <w:p w14:paraId="2D8C4FF2" w14:textId="77777777" w:rsidR="00121465" w:rsidRPr="004D59DC" w:rsidRDefault="00121465" w:rsidP="0049512E">
            <w:pPr>
              <w:spacing w:line="360" w:lineRule="auto"/>
              <w:jc w:val="center"/>
              <w:rPr>
                <w:sz w:val="22"/>
                <w:szCs w:val="22"/>
              </w:rPr>
            </w:pPr>
          </w:p>
        </w:tc>
        <w:tc>
          <w:tcPr>
            <w:tcW w:w="1700" w:type="dxa"/>
          </w:tcPr>
          <w:p w14:paraId="7AE3B57A" w14:textId="77777777" w:rsidR="00121465" w:rsidRDefault="00121465" w:rsidP="0049512E">
            <w:pPr>
              <w:spacing w:line="360" w:lineRule="auto"/>
              <w:jc w:val="center"/>
              <w:rPr>
                <w:sz w:val="22"/>
                <w:szCs w:val="22"/>
              </w:rPr>
            </w:pPr>
            <w:r>
              <w:rPr>
                <w:sz w:val="22"/>
                <w:szCs w:val="22"/>
              </w:rPr>
              <w:t>4.604</w:t>
            </w:r>
          </w:p>
          <w:p w14:paraId="0CB5FCDD" w14:textId="77777777" w:rsidR="00121465" w:rsidRPr="004D59DC" w:rsidRDefault="00121465" w:rsidP="0049512E">
            <w:pPr>
              <w:spacing w:line="360" w:lineRule="auto"/>
              <w:jc w:val="center"/>
              <w:rPr>
                <w:sz w:val="22"/>
                <w:szCs w:val="22"/>
              </w:rPr>
            </w:pPr>
            <w:r>
              <w:rPr>
                <w:sz w:val="22"/>
                <w:szCs w:val="22"/>
              </w:rPr>
              <w:t>510</w:t>
            </w:r>
          </w:p>
        </w:tc>
        <w:tc>
          <w:tcPr>
            <w:tcW w:w="1559" w:type="dxa"/>
          </w:tcPr>
          <w:p w14:paraId="3CB2615C" w14:textId="77777777" w:rsidR="00121465" w:rsidRDefault="00121465" w:rsidP="00121465">
            <w:pPr>
              <w:spacing w:line="360" w:lineRule="auto"/>
              <w:ind w:left="-47"/>
              <w:jc w:val="center"/>
              <w:rPr>
                <w:sz w:val="22"/>
                <w:szCs w:val="22"/>
              </w:rPr>
            </w:pPr>
            <w:r>
              <w:rPr>
                <w:sz w:val="22"/>
                <w:szCs w:val="22"/>
              </w:rPr>
              <w:t>5.041</w:t>
            </w:r>
          </w:p>
          <w:p w14:paraId="224DCD4E" w14:textId="77777777" w:rsidR="00121465" w:rsidRPr="004D59DC" w:rsidRDefault="00121465" w:rsidP="0049512E">
            <w:pPr>
              <w:spacing w:line="360" w:lineRule="auto"/>
              <w:jc w:val="center"/>
              <w:rPr>
                <w:sz w:val="22"/>
                <w:szCs w:val="22"/>
              </w:rPr>
            </w:pPr>
            <w:r>
              <w:rPr>
                <w:sz w:val="22"/>
                <w:szCs w:val="22"/>
              </w:rPr>
              <w:t>510</w:t>
            </w:r>
          </w:p>
        </w:tc>
      </w:tr>
      <w:tr w:rsidR="00121465" w:rsidRPr="004D59DC" w14:paraId="0EF177B7" w14:textId="77777777" w:rsidTr="00121465">
        <w:trPr>
          <w:trHeight w:val="394"/>
        </w:trPr>
        <w:tc>
          <w:tcPr>
            <w:tcW w:w="5032" w:type="dxa"/>
          </w:tcPr>
          <w:p w14:paraId="68F17224" w14:textId="77777777" w:rsidR="00121465" w:rsidRPr="004D59DC" w:rsidRDefault="00121465" w:rsidP="0049512E">
            <w:pPr>
              <w:pStyle w:val="Intestazione"/>
              <w:tabs>
                <w:tab w:val="clear" w:pos="4819"/>
                <w:tab w:val="clear" w:pos="9638"/>
              </w:tabs>
              <w:spacing w:line="360" w:lineRule="auto"/>
              <w:jc w:val="center"/>
              <w:rPr>
                <w:b/>
                <w:i/>
                <w:sz w:val="22"/>
                <w:szCs w:val="22"/>
              </w:rPr>
            </w:pPr>
            <w:r w:rsidRPr="004D59DC">
              <w:rPr>
                <w:b/>
                <w:sz w:val="22"/>
                <w:szCs w:val="22"/>
              </w:rPr>
              <w:t>TOTALE</w:t>
            </w:r>
          </w:p>
        </w:tc>
        <w:tc>
          <w:tcPr>
            <w:tcW w:w="426" w:type="dxa"/>
          </w:tcPr>
          <w:p w14:paraId="11B4B19D" w14:textId="77777777" w:rsidR="00121465" w:rsidRPr="004D59DC" w:rsidRDefault="00121465" w:rsidP="0049512E">
            <w:pPr>
              <w:spacing w:line="360" w:lineRule="auto"/>
              <w:jc w:val="center"/>
              <w:rPr>
                <w:b/>
                <w:sz w:val="22"/>
                <w:szCs w:val="22"/>
              </w:rPr>
            </w:pPr>
          </w:p>
        </w:tc>
        <w:tc>
          <w:tcPr>
            <w:tcW w:w="1700" w:type="dxa"/>
          </w:tcPr>
          <w:p w14:paraId="5C0E820A" w14:textId="77777777" w:rsidR="00121465" w:rsidRPr="004D59DC" w:rsidRDefault="00121465" w:rsidP="0049512E">
            <w:pPr>
              <w:spacing w:line="360" w:lineRule="auto"/>
              <w:jc w:val="center"/>
              <w:rPr>
                <w:b/>
                <w:sz w:val="22"/>
                <w:szCs w:val="22"/>
              </w:rPr>
            </w:pPr>
            <w:r>
              <w:rPr>
                <w:b/>
                <w:sz w:val="22"/>
                <w:szCs w:val="22"/>
              </w:rPr>
              <w:t>5.227</w:t>
            </w:r>
          </w:p>
        </w:tc>
        <w:tc>
          <w:tcPr>
            <w:tcW w:w="1559" w:type="dxa"/>
          </w:tcPr>
          <w:p w14:paraId="339FA7B4" w14:textId="77777777" w:rsidR="00121465" w:rsidRPr="004D59DC" w:rsidRDefault="00121465" w:rsidP="0049512E">
            <w:pPr>
              <w:spacing w:line="360" w:lineRule="auto"/>
              <w:jc w:val="center"/>
              <w:rPr>
                <w:b/>
                <w:sz w:val="22"/>
                <w:szCs w:val="22"/>
              </w:rPr>
            </w:pPr>
            <w:r>
              <w:rPr>
                <w:b/>
                <w:sz w:val="22"/>
                <w:szCs w:val="22"/>
              </w:rPr>
              <w:t>5.742</w:t>
            </w:r>
          </w:p>
        </w:tc>
      </w:tr>
    </w:tbl>
    <w:bookmarkEnd w:id="2"/>
    <w:p w14:paraId="608A5A5B" w14:textId="77777777" w:rsidR="00F9033A" w:rsidRPr="00F9033A" w:rsidRDefault="00F9033A" w:rsidP="00121465">
      <w:pPr>
        <w:widowControl w:val="0"/>
        <w:spacing w:before="120" w:after="120"/>
        <w:jc w:val="both"/>
        <w:rPr>
          <w:rFonts w:ascii="Arial" w:hAnsi="Arial" w:cs="Arial"/>
          <w:snapToGrid w:val="0"/>
          <w:sz w:val="20"/>
        </w:rPr>
      </w:pPr>
      <w:r w:rsidRPr="00F9033A">
        <w:rPr>
          <w:rFonts w:ascii="Arial" w:hAnsi="Arial" w:cs="Arial"/>
          <w:i/>
          <w:snapToGrid w:val="0"/>
          <w:sz w:val="20"/>
        </w:rPr>
        <w:t xml:space="preserve"> </w:t>
      </w:r>
    </w:p>
    <w:p w14:paraId="36B93BB6" w14:textId="77777777" w:rsidR="00E50A76" w:rsidRPr="00E50A76" w:rsidRDefault="00E50A76" w:rsidP="0049512E">
      <w:pPr>
        <w:widowControl w:val="0"/>
        <w:numPr>
          <w:ilvl w:val="0"/>
          <w:numId w:val="28"/>
        </w:numPr>
        <w:spacing w:before="120" w:after="120"/>
        <w:jc w:val="both"/>
        <w:rPr>
          <w:rFonts w:ascii="Arial" w:hAnsi="Arial" w:cs="Arial"/>
          <w:b/>
          <w:bCs/>
          <w:snapToGrid w:val="0"/>
          <w:sz w:val="20"/>
        </w:rPr>
      </w:pPr>
      <w:r w:rsidRPr="00E50A76">
        <w:rPr>
          <w:rFonts w:ascii="Arial" w:hAnsi="Arial" w:cs="Arial"/>
          <w:bCs/>
          <w:snapToGrid w:val="0"/>
          <w:sz w:val="20"/>
        </w:rPr>
        <w:t xml:space="preserve">Nella voce è stato indicato il credito definito verso la società Barcelona Tecnologia, coordinatrice di un consorzio costituito nel 1996 tra aziende ed istituti di ricerca per la realizzazione di un progetto di Ricerca e sviluppo tecnologico, denominato Centauro. L’importo residuo a credito di ANM è stato definito in 113 €/000, di cui 105 €/000 da distribuire ai partners (cfr la voce </w:t>
      </w:r>
      <w:r w:rsidRPr="00E50A76">
        <w:rPr>
          <w:rFonts w:ascii="Arial" w:hAnsi="Arial" w:cs="Arial"/>
          <w:bCs/>
          <w:i/>
          <w:iCs/>
          <w:snapToGrid w:val="0"/>
          <w:sz w:val="20"/>
        </w:rPr>
        <w:t>“debiti verso altri”</w:t>
      </w:r>
      <w:r w:rsidRPr="00E50A76">
        <w:rPr>
          <w:rFonts w:ascii="Arial" w:hAnsi="Arial" w:cs="Arial"/>
          <w:bCs/>
          <w:snapToGrid w:val="0"/>
          <w:sz w:val="20"/>
        </w:rPr>
        <w:t xml:space="preserve"> di cui in seguito al punto </w:t>
      </w:r>
      <w:r w:rsidRPr="00E50A76">
        <w:rPr>
          <w:rFonts w:ascii="Arial" w:hAnsi="Arial" w:cs="Arial"/>
          <w:b/>
          <w:bCs/>
          <w:snapToGrid w:val="0"/>
          <w:sz w:val="20"/>
        </w:rPr>
        <w:t>D.15</w:t>
      </w:r>
      <w:r w:rsidRPr="00E50A76">
        <w:rPr>
          <w:rFonts w:ascii="Arial" w:hAnsi="Arial" w:cs="Arial"/>
          <w:bCs/>
          <w:snapToGrid w:val="0"/>
          <w:sz w:val="20"/>
        </w:rPr>
        <w:t>);</w:t>
      </w:r>
    </w:p>
    <w:p w14:paraId="7B34891C" w14:textId="77777777" w:rsidR="00E50A76" w:rsidRPr="00E50A76" w:rsidRDefault="00E50A76" w:rsidP="0049512E">
      <w:pPr>
        <w:widowControl w:val="0"/>
        <w:numPr>
          <w:ilvl w:val="0"/>
          <w:numId w:val="28"/>
        </w:numPr>
        <w:spacing w:before="120" w:after="120"/>
        <w:jc w:val="both"/>
        <w:rPr>
          <w:rFonts w:ascii="Arial" w:hAnsi="Arial" w:cs="Arial"/>
          <w:bCs/>
          <w:snapToGrid w:val="0"/>
          <w:sz w:val="20"/>
        </w:rPr>
      </w:pPr>
      <w:r w:rsidRPr="00E50A76">
        <w:rPr>
          <w:rFonts w:ascii="Arial" w:hAnsi="Arial" w:cs="Arial"/>
          <w:bCs/>
          <w:snapToGrid w:val="0"/>
          <w:sz w:val="20"/>
        </w:rPr>
        <w:t xml:space="preserve">Quanto al credito verso </w:t>
      </w:r>
      <w:smartTag w:uri="urn:schemas-microsoft-com:office:smarttags" w:element="PersonName">
        <w:smartTagPr>
          <w:attr w:name="ProductID" w:val="la Ceretti"/>
        </w:smartTagPr>
        <w:r w:rsidRPr="00E50A76">
          <w:rPr>
            <w:rFonts w:ascii="Arial" w:hAnsi="Arial" w:cs="Arial"/>
            <w:bCs/>
            <w:snapToGrid w:val="0"/>
            <w:sz w:val="20"/>
          </w:rPr>
          <w:t>la Ceretti</w:t>
        </w:r>
      </w:smartTag>
      <w:r w:rsidRPr="00E50A76">
        <w:rPr>
          <w:rFonts w:ascii="Arial" w:hAnsi="Arial" w:cs="Arial"/>
          <w:bCs/>
          <w:snapToGrid w:val="0"/>
          <w:sz w:val="20"/>
        </w:rPr>
        <w:t xml:space="preserve"> &amp; Tanfani, l’ultima pronuncia arbitrale (lodo 20/2005) ha posto fine a tutti i contenziosi pendenti in essere tra la stessa ed ANM, azzerando le partite debitorie verso la società medesima. L’ANM ha altresì ottenuto l’insinuazione nella massa passiva della procedura concorsuale, avviata onde soddisfare, nella percentuale concordataria del 40%, il credito accertato di 390 €/000, in parte incassato nel 2006 per l’importo di 79 €/000. Per la residua parte del 60% nel 2013 si è provveduto ad effettuare la completa svalutazione data l’alea di un possibile recupero ed in assenza di un provvedimento esecutivo che chiarisca i termini del recupero. Nel 2018 è stato incassato un importo di 78 €/000 dal fallimento dell’azienda.</w:t>
      </w:r>
    </w:p>
    <w:p w14:paraId="297CE8C4" w14:textId="77777777" w:rsidR="00E50A76" w:rsidRPr="00E50A76" w:rsidRDefault="00E50A76" w:rsidP="0049512E">
      <w:pPr>
        <w:widowControl w:val="0"/>
        <w:numPr>
          <w:ilvl w:val="0"/>
          <w:numId w:val="28"/>
        </w:numPr>
        <w:spacing w:before="120" w:after="120"/>
        <w:jc w:val="both"/>
        <w:rPr>
          <w:rFonts w:ascii="Arial" w:hAnsi="Arial" w:cs="Arial"/>
          <w:bCs/>
          <w:snapToGrid w:val="0"/>
          <w:sz w:val="20"/>
        </w:rPr>
      </w:pPr>
      <w:r w:rsidRPr="00E50A76">
        <w:rPr>
          <w:rFonts w:ascii="Arial" w:hAnsi="Arial" w:cs="Arial"/>
          <w:bCs/>
          <w:snapToGrid w:val="0"/>
          <w:sz w:val="20"/>
        </w:rPr>
        <w:t>La voce cauzione verso terzi si riferisce prevalentemente alle somme trattenute come cauzioni in determinate tipologie di forniture (utenze telefoniche, acqua). Le cauzioni più elevate sono stata versate per la fornitura di energia (3.684 €/000), di gasolio Q8 (472 €/000); per la Asstra Energia (250 €/000);</w:t>
      </w:r>
    </w:p>
    <w:p w14:paraId="37FA68C4" w14:textId="77777777" w:rsidR="00E50A76" w:rsidRDefault="00E50A76" w:rsidP="0049512E">
      <w:pPr>
        <w:widowControl w:val="0"/>
        <w:numPr>
          <w:ilvl w:val="0"/>
          <w:numId w:val="28"/>
        </w:numPr>
        <w:spacing w:before="120" w:after="120"/>
        <w:jc w:val="both"/>
        <w:rPr>
          <w:rFonts w:ascii="Arial" w:hAnsi="Arial" w:cs="Arial"/>
          <w:bCs/>
          <w:snapToGrid w:val="0"/>
          <w:sz w:val="20"/>
        </w:rPr>
      </w:pPr>
      <w:r w:rsidRPr="00E50A76">
        <w:rPr>
          <w:rFonts w:ascii="Arial" w:hAnsi="Arial" w:cs="Arial"/>
          <w:bCs/>
          <w:snapToGrid w:val="0"/>
          <w:sz w:val="20"/>
        </w:rPr>
        <w:t>Il credito verso il Comune Portici (510 €/000) è relativo a sentenza accolta avverso la debenza Tares 2013-2014. La sentenza dovrebbe andare ad esecuzione nel 2020.</w:t>
      </w:r>
    </w:p>
    <w:p w14:paraId="27DFF8F0" w14:textId="77777777" w:rsidR="00EE4AF0" w:rsidRPr="003002ED" w:rsidRDefault="00EE4AF0" w:rsidP="005E6F2C">
      <w:pPr>
        <w:widowControl w:val="0"/>
        <w:spacing w:before="120" w:after="120"/>
        <w:jc w:val="both"/>
        <w:rPr>
          <w:rFonts w:ascii="Arial" w:hAnsi="Arial" w:cs="Arial"/>
          <w:b/>
          <w:snapToGrid w:val="0"/>
          <w:sz w:val="20"/>
          <w:u w:val="single"/>
        </w:rPr>
      </w:pPr>
      <w:r w:rsidRPr="003002ED">
        <w:rPr>
          <w:rFonts w:ascii="Arial" w:hAnsi="Arial" w:cs="Arial"/>
          <w:b/>
          <w:snapToGrid w:val="0"/>
          <w:sz w:val="20"/>
          <w:u w:val="single"/>
        </w:rPr>
        <w:t>Disponibilità liquide</w:t>
      </w:r>
    </w:p>
    <w:p w14:paraId="5A1FB88A" w14:textId="5BE6D47F" w:rsidR="00D65236" w:rsidRDefault="00EE4AF0" w:rsidP="005E6F2C">
      <w:pPr>
        <w:widowControl w:val="0"/>
        <w:tabs>
          <w:tab w:val="left" w:pos="204"/>
        </w:tabs>
        <w:spacing w:before="120" w:after="120"/>
        <w:jc w:val="both"/>
        <w:rPr>
          <w:rFonts w:ascii="Arial" w:hAnsi="Arial" w:cs="Arial"/>
          <w:snapToGrid w:val="0"/>
          <w:sz w:val="20"/>
        </w:rPr>
      </w:pPr>
      <w:r w:rsidRPr="003002ED">
        <w:rPr>
          <w:rFonts w:ascii="Arial" w:hAnsi="Arial" w:cs="Arial"/>
          <w:snapToGrid w:val="0"/>
          <w:sz w:val="20"/>
        </w:rPr>
        <w:lastRenderedPageBreak/>
        <w:t xml:space="preserve">Le disponibilità liquide rappresentano i valori di cassa e di banca alla </w:t>
      </w:r>
      <w:r w:rsidR="00271429" w:rsidRPr="003002ED">
        <w:rPr>
          <w:rFonts w:ascii="Arial" w:hAnsi="Arial" w:cs="Arial"/>
          <w:snapToGrid w:val="0"/>
          <w:sz w:val="20"/>
        </w:rPr>
        <w:t>data di chiusura dell’esercizio</w:t>
      </w:r>
      <w:r w:rsidR="00D65236">
        <w:rPr>
          <w:rFonts w:ascii="Arial" w:hAnsi="Arial" w:cs="Arial"/>
          <w:snapToGrid w:val="0"/>
          <w:sz w:val="20"/>
        </w:rPr>
        <w:t>.</w:t>
      </w:r>
    </w:p>
    <w:p w14:paraId="565DD71E" w14:textId="221F2B00" w:rsidR="000C0586" w:rsidRDefault="00A22B5D" w:rsidP="005E6F2C">
      <w:pPr>
        <w:widowControl w:val="0"/>
        <w:tabs>
          <w:tab w:val="left" w:pos="204"/>
        </w:tabs>
        <w:spacing w:before="120" w:after="120"/>
        <w:jc w:val="both"/>
        <w:rPr>
          <w:sz w:val="20"/>
          <w:szCs w:val="20"/>
        </w:rPr>
      </w:pPr>
      <w:r w:rsidRPr="008B3BFA">
        <w:rPr>
          <w:rFonts w:ascii="Arial" w:hAnsi="Arial" w:cs="Arial"/>
          <w:i/>
          <w:iCs/>
          <w:snapToGrid w:val="0"/>
          <w:sz w:val="18"/>
          <w:szCs w:val="18"/>
        </w:rPr>
        <w:t>Euro</w:t>
      </w:r>
      <w:r w:rsidR="00271429" w:rsidRPr="008B3BFA">
        <w:rPr>
          <w:rFonts w:ascii="Arial" w:hAnsi="Arial" w:cs="Arial"/>
          <w:i/>
          <w:iCs/>
          <w:snapToGrid w:val="0"/>
          <w:sz w:val="18"/>
          <w:szCs w:val="18"/>
        </w:rPr>
        <w:t>/000</w:t>
      </w:r>
      <w:r w:rsidR="00271429" w:rsidRPr="003002ED">
        <w:rPr>
          <w:rFonts w:ascii="Arial" w:hAnsi="Arial" w:cs="Arial"/>
          <w:snapToGrid w:val="0"/>
          <w:sz w:val="20"/>
        </w:rPr>
        <w:t>:</w:t>
      </w:r>
      <w:r w:rsidR="000C0586">
        <w:rPr>
          <w:snapToGrid w:val="0"/>
        </w:rPr>
        <w:fldChar w:fldCharType="begin"/>
      </w:r>
      <w:r w:rsidR="000C0586">
        <w:rPr>
          <w:snapToGrid w:val="0"/>
        </w:rPr>
        <w:instrText xml:space="preserve"> LINK </w:instrText>
      </w:r>
      <w:r w:rsidR="00693459">
        <w:rPr>
          <w:snapToGrid w:val="0"/>
        </w:rPr>
        <w:instrText xml:space="preserve">Excel.Sheet.12 "\\\\PROFIMDC01\\Documenti\\archivi correnti_\\Napoli Park\\BILANCI\\2019\\Consolidato 31.12.2019\\Schede 2019.xlsx" "schede 2019!R120C2:R124C5" </w:instrText>
      </w:r>
      <w:r w:rsidR="000C0586">
        <w:rPr>
          <w:snapToGrid w:val="0"/>
        </w:rPr>
        <w:instrText xml:space="preserve">\a \f 4 \h  \* MERGEFORMAT </w:instrText>
      </w:r>
      <w:r w:rsidR="000C0586">
        <w:rPr>
          <w:snapToGrid w:val="0"/>
        </w:rPr>
        <w:fldChar w:fldCharType="separate"/>
      </w:r>
    </w:p>
    <w:tbl>
      <w:tblPr>
        <w:tblW w:w="8364" w:type="dxa"/>
        <w:tblInd w:w="70" w:type="dxa"/>
        <w:tblCellMar>
          <w:left w:w="70" w:type="dxa"/>
          <w:right w:w="70" w:type="dxa"/>
        </w:tblCellMar>
        <w:tblLook w:val="04A0" w:firstRow="1" w:lastRow="0" w:firstColumn="1" w:lastColumn="0" w:noHBand="0" w:noVBand="1"/>
      </w:tblPr>
      <w:tblGrid>
        <w:gridCol w:w="3261"/>
        <w:gridCol w:w="1701"/>
        <w:gridCol w:w="1842"/>
        <w:gridCol w:w="1560"/>
      </w:tblGrid>
      <w:tr w:rsidR="000C0586" w:rsidRPr="000C0586" w14:paraId="5BB75DD8" w14:textId="77777777" w:rsidTr="000C0586">
        <w:trPr>
          <w:trHeight w:val="285"/>
        </w:trPr>
        <w:tc>
          <w:tcPr>
            <w:tcW w:w="3261" w:type="dxa"/>
            <w:tcBorders>
              <w:top w:val="single" w:sz="4" w:space="0" w:color="auto"/>
              <w:left w:val="nil"/>
              <w:bottom w:val="single" w:sz="4" w:space="0" w:color="auto"/>
              <w:right w:val="nil"/>
            </w:tcBorders>
            <w:shd w:val="clear" w:color="000000" w:fill="D9D9D9"/>
            <w:noWrap/>
            <w:vAlign w:val="bottom"/>
            <w:hideMark/>
          </w:tcPr>
          <w:p w14:paraId="6912821F" w14:textId="77777777" w:rsidR="000C0586" w:rsidRPr="000C0586" w:rsidRDefault="000C0586" w:rsidP="000C0586">
            <w:pPr>
              <w:rPr>
                <w:rFonts w:ascii="Arial" w:hAnsi="Arial" w:cs="Arial"/>
                <w:sz w:val="18"/>
                <w:szCs w:val="18"/>
              </w:rPr>
            </w:pPr>
            <w:r w:rsidRPr="000C0586">
              <w:rPr>
                <w:rFonts w:ascii="Arial" w:hAnsi="Arial" w:cs="Arial"/>
                <w:sz w:val="18"/>
                <w:szCs w:val="18"/>
              </w:rPr>
              <w:t> </w:t>
            </w:r>
          </w:p>
        </w:tc>
        <w:tc>
          <w:tcPr>
            <w:tcW w:w="1701" w:type="dxa"/>
            <w:tcBorders>
              <w:top w:val="single" w:sz="4" w:space="0" w:color="auto"/>
              <w:left w:val="nil"/>
              <w:bottom w:val="single" w:sz="4" w:space="0" w:color="auto"/>
              <w:right w:val="nil"/>
            </w:tcBorders>
            <w:shd w:val="clear" w:color="000000" w:fill="D9D9D9"/>
            <w:noWrap/>
            <w:vAlign w:val="bottom"/>
            <w:hideMark/>
          </w:tcPr>
          <w:p w14:paraId="0616D281" w14:textId="77777777" w:rsidR="000C0586" w:rsidRPr="000C0586" w:rsidRDefault="000C0586" w:rsidP="000C0586">
            <w:pPr>
              <w:jc w:val="center"/>
              <w:rPr>
                <w:rFonts w:ascii="Arial" w:hAnsi="Arial" w:cs="Arial"/>
                <w:sz w:val="18"/>
                <w:szCs w:val="18"/>
              </w:rPr>
            </w:pPr>
            <w:r w:rsidRPr="000C0586">
              <w:rPr>
                <w:rFonts w:ascii="Arial" w:hAnsi="Arial" w:cs="Arial"/>
                <w:sz w:val="18"/>
                <w:szCs w:val="18"/>
              </w:rPr>
              <w:t>31/12/2019</w:t>
            </w:r>
          </w:p>
        </w:tc>
        <w:tc>
          <w:tcPr>
            <w:tcW w:w="1842" w:type="dxa"/>
            <w:tcBorders>
              <w:top w:val="single" w:sz="4" w:space="0" w:color="auto"/>
              <w:left w:val="nil"/>
              <w:bottom w:val="single" w:sz="4" w:space="0" w:color="auto"/>
              <w:right w:val="nil"/>
            </w:tcBorders>
            <w:shd w:val="clear" w:color="000000" w:fill="D9D9D9"/>
            <w:noWrap/>
            <w:vAlign w:val="bottom"/>
            <w:hideMark/>
          </w:tcPr>
          <w:p w14:paraId="34966047" w14:textId="77777777" w:rsidR="000C0586" w:rsidRPr="000C0586" w:rsidRDefault="000C0586" w:rsidP="000C0586">
            <w:pPr>
              <w:jc w:val="center"/>
              <w:rPr>
                <w:rFonts w:ascii="Arial" w:hAnsi="Arial" w:cs="Arial"/>
                <w:sz w:val="18"/>
                <w:szCs w:val="18"/>
              </w:rPr>
            </w:pPr>
            <w:r w:rsidRPr="000C0586">
              <w:rPr>
                <w:rFonts w:ascii="Arial" w:hAnsi="Arial" w:cs="Arial"/>
                <w:sz w:val="18"/>
                <w:szCs w:val="18"/>
              </w:rPr>
              <w:t>31/12/2018</w:t>
            </w:r>
          </w:p>
        </w:tc>
        <w:tc>
          <w:tcPr>
            <w:tcW w:w="1560" w:type="dxa"/>
            <w:tcBorders>
              <w:top w:val="single" w:sz="4" w:space="0" w:color="auto"/>
              <w:left w:val="nil"/>
              <w:bottom w:val="single" w:sz="4" w:space="0" w:color="auto"/>
              <w:right w:val="nil"/>
            </w:tcBorders>
            <w:shd w:val="clear" w:color="000000" w:fill="D9D9D9"/>
            <w:noWrap/>
            <w:vAlign w:val="bottom"/>
            <w:hideMark/>
          </w:tcPr>
          <w:p w14:paraId="07F84D3A" w14:textId="77777777" w:rsidR="000C0586" w:rsidRPr="000C0586" w:rsidRDefault="000C0586" w:rsidP="000C0586">
            <w:pPr>
              <w:jc w:val="center"/>
              <w:rPr>
                <w:rFonts w:ascii="Arial" w:hAnsi="Arial" w:cs="Arial"/>
                <w:sz w:val="18"/>
                <w:szCs w:val="18"/>
              </w:rPr>
            </w:pPr>
            <w:r w:rsidRPr="000C0586">
              <w:rPr>
                <w:rFonts w:ascii="Arial" w:hAnsi="Arial" w:cs="Arial"/>
                <w:sz w:val="18"/>
                <w:szCs w:val="18"/>
              </w:rPr>
              <w:t xml:space="preserve"> variazione </w:t>
            </w:r>
          </w:p>
        </w:tc>
      </w:tr>
      <w:tr w:rsidR="000C0586" w:rsidRPr="000C0586" w14:paraId="31916B3E" w14:textId="77777777" w:rsidTr="000C0586">
        <w:trPr>
          <w:trHeight w:val="225"/>
        </w:trPr>
        <w:tc>
          <w:tcPr>
            <w:tcW w:w="3261" w:type="dxa"/>
            <w:tcBorders>
              <w:top w:val="nil"/>
              <w:left w:val="nil"/>
              <w:bottom w:val="nil"/>
              <w:right w:val="nil"/>
            </w:tcBorders>
            <w:shd w:val="clear" w:color="auto" w:fill="auto"/>
            <w:noWrap/>
            <w:vAlign w:val="bottom"/>
            <w:hideMark/>
          </w:tcPr>
          <w:p w14:paraId="24981504" w14:textId="77777777" w:rsidR="000C0586" w:rsidRPr="000C0586" w:rsidRDefault="000C0586" w:rsidP="000C0586">
            <w:pPr>
              <w:rPr>
                <w:rFonts w:ascii="Arial" w:hAnsi="Arial" w:cs="Arial"/>
                <w:sz w:val="18"/>
                <w:szCs w:val="18"/>
              </w:rPr>
            </w:pPr>
            <w:r w:rsidRPr="000C0586">
              <w:rPr>
                <w:rFonts w:ascii="Arial" w:hAnsi="Arial" w:cs="Arial"/>
                <w:sz w:val="18"/>
                <w:szCs w:val="18"/>
              </w:rPr>
              <w:t xml:space="preserve">            1) Depositi bancari e postali</w:t>
            </w:r>
          </w:p>
        </w:tc>
        <w:tc>
          <w:tcPr>
            <w:tcW w:w="1701" w:type="dxa"/>
            <w:tcBorders>
              <w:top w:val="nil"/>
              <w:left w:val="nil"/>
              <w:bottom w:val="nil"/>
              <w:right w:val="nil"/>
            </w:tcBorders>
            <w:shd w:val="clear" w:color="auto" w:fill="auto"/>
            <w:noWrap/>
            <w:vAlign w:val="bottom"/>
            <w:hideMark/>
          </w:tcPr>
          <w:p w14:paraId="796B035B" w14:textId="77777777" w:rsidR="000C0586" w:rsidRPr="000C0586" w:rsidRDefault="000C0586" w:rsidP="000C0586">
            <w:pPr>
              <w:jc w:val="right"/>
              <w:rPr>
                <w:rFonts w:ascii="Arial" w:hAnsi="Arial" w:cs="Arial"/>
                <w:sz w:val="18"/>
                <w:szCs w:val="18"/>
              </w:rPr>
            </w:pPr>
            <w:r w:rsidRPr="000C0586">
              <w:rPr>
                <w:rFonts w:ascii="Arial" w:hAnsi="Arial" w:cs="Arial"/>
                <w:sz w:val="18"/>
                <w:szCs w:val="18"/>
              </w:rPr>
              <w:t xml:space="preserve">                                            63.016 </w:t>
            </w:r>
          </w:p>
        </w:tc>
        <w:tc>
          <w:tcPr>
            <w:tcW w:w="1842" w:type="dxa"/>
            <w:tcBorders>
              <w:top w:val="nil"/>
              <w:left w:val="nil"/>
              <w:bottom w:val="nil"/>
              <w:right w:val="nil"/>
            </w:tcBorders>
            <w:shd w:val="clear" w:color="auto" w:fill="auto"/>
            <w:noWrap/>
            <w:vAlign w:val="bottom"/>
            <w:hideMark/>
          </w:tcPr>
          <w:p w14:paraId="196CB026" w14:textId="77777777" w:rsidR="000C0586" w:rsidRPr="000C0586" w:rsidRDefault="000C0586" w:rsidP="000C0586">
            <w:pPr>
              <w:jc w:val="right"/>
              <w:rPr>
                <w:rFonts w:ascii="Arial" w:hAnsi="Arial" w:cs="Arial"/>
                <w:sz w:val="18"/>
                <w:szCs w:val="18"/>
              </w:rPr>
            </w:pPr>
            <w:r w:rsidRPr="000C0586">
              <w:rPr>
                <w:rFonts w:ascii="Arial" w:hAnsi="Arial" w:cs="Arial"/>
                <w:sz w:val="18"/>
                <w:szCs w:val="18"/>
              </w:rPr>
              <w:t xml:space="preserve">                                      50.328 </w:t>
            </w:r>
          </w:p>
        </w:tc>
        <w:tc>
          <w:tcPr>
            <w:tcW w:w="1560" w:type="dxa"/>
            <w:tcBorders>
              <w:top w:val="nil"/>
              <w:left w:val="nil"/>
              <w:bottom w:val="nil"/>
              <w:right w:val="nil"/>
            </w:tcBorders>
            <w:shd w:val="clear" w:color="auto" w:fill="auto"/>
            <w:noWrap/>
            <w:vAlign w:val="bottom"/>
            <w:hideMark/>
          </w:tcPr>
          <w:p w14:paraId="79AE5F78" w14:textId="77777777" w:rsidR="000C0586" w:rsidRPr="000C0586" w:rsidRDefault="000C0586" w:rsidP="000C0586">
            <w:pPr>
              <w:jc w:val="right"/>
              <w:rPr>
                <w:rFonts w:ascii="Arial" w:hAnsi="Arial" w:cs="Arial"/>
                <w:sz w:val="18"/>
                <w:szCs w:val="18"/>
              </w:rPr>
            </w:pPr>
            <w:r w:rsidRPr="000C0586">
              <w:rPr>
                <w:rFonts w:ascii="Arial" w:hAnsi="Arial" w:cs="Arial"/>
                <w:sz w:val="18"/>
                <w:szCs w:val="18"/>
              </w:rPr>
              <w:t xml:space="preserve">                     12.688 </w:t>
            </w:r>
          </w:p>
        </w:tc>
      </w:tr>
      <w:tr w:rsidR="000C0586" w:rsidRPr="000C0586" w14:paraId="51D3A005" w14:textId="77777777" w:rsidTr="000C0586">
        <w:trPr>
          <w:trHeight w:val="225"/>
        </w:trPr>
        <w:tc>
          <w:tcPr>
            <w:tcW w:w="3261" w:type="dxa"/>
            <w:tcBorders>
              <w:top w:val="nil"/>
              <w:left w:val="nil"/>
              <w:bottom w:val="nil"/>
              <w:right w:val="nil"/>
            </w:tcBorders>
            <w:shd w:val="clear" w:color="auto" w:fill="auto"/>
            <w:noWrap/>
            <w:vAlign w:val="bottom"/>
            <w:hideMark/>
          </w:tcPr>
          <w:p w14:paraId="32CBEBB0" w14:textId="77777777" w:rsidR="000C0586" w:rsidRPr="000C0586" w:rsidRDefault="000C0586" w:rsidP="000C0586">
            <w:pPr>
              <w:rPr>
                <w:rFonts w:ascii="Arial" w:hAnsi="Arial" w:cs="Arial"/>
                <w:sz w:val="18"/>
                <w:szCs w:val="18"/>
              </w:rPr>
            </w:pPr>
            <w:r w:rsidRPr="000C0586">
              <w:rPr>
                <w:rFonts w:ascii="Arial" w:hAnsi="Arial" w:cs="Arial"/>
                <w:sz w:val="18"/>
                <w:szCs w:val="18"/>
              </w:rPr>
              <w:t xml:space="preserve">            3) Denaro a valori in cassa</w:t>
            </w:r>
          </w:p>
        </w:tc>
        <w:tc>
          <w:tcPr>
            <w:tcW w:w="1701" w:type="dxa"/>
            <w:tcBorders>
              <w:top w:val="nil"/>
              <w:left w:val="nil"/>
              <w:bottom w:val="nil"/>
              <w:right w:val="nil"/>
            </w:tcBorders>
            <w:shd w:val="clear" w:color="auto" w:fill="auto"/>
            <w:noWrap/>
            <w:vAlign w:val="bottom"/>
            <w:hideMark/>
          </w:tcPr>
          <w:p w14:paraId="541D8153" w14:textId="77777777" w:rsidR="000C0586" w:rsidRPr="000C0586" w:rsidRDefault="000C0586" w:rsidP="000C0586">
            <w:pPr>
              <w:jc w:val="right"/>
              <w:rPr>
                <w:rFonts w:ascii="Arial" w:hAnsi="Arial" w:cs="Arial"/>
                <w:sz w:val="18"/>
                <w:szCs w:val="18"/>
              </w:rPr>
            </w:pPr>
            <w:r w:rsidRPr="000C0586">
              <w:rPr>
                <w:rFonts w:ascii="Arial" w:hAnsi="Arial" w:cs="Arial"/>
                <w:sz w:val="18"/>
                <w:szCs w:val="18"/>
              </w:rPr>
              <w:t xml:space="preserve">                                                 184 </w:t>
            </w:r>
          </w:p>
        </w:tc>
        <w:tc>
          <w:tcPr>
            <w:tcW w:w="1842" w:type="dxa"/>
            <w:tcBorders>
              <w:top w:val="nil"/>
              <w:left w:val="nil"/>
              <w:bottom w:val="nil"/>
              <w:right w:val="nil"/>
            </w:tcBorders>
            <w:shd w:val="clear" w:color="auto" w:fill="auto"/>
            <w:noWrap/>
            <w:vAlign w:val="bottom"/>
            <w:hideMark/>
          </w:tcPr>
          <w:p w14:paraId="0AF72473" w14:textId="77777777" w:rsidR="000C0586" w:rsidRPr="000C0586" w:rsidRDefault="000C0586" w:rsidP="000C0586">
            <w:pPr>
              <w:jc w:val="right"/>
              <w:rPr>
                <w:rFonts w:ascii="Arial" w:hAnsi="Arial" w:cs="Arial"/>
                <w:sz w:val="18"/>
                <w:szCs w:val="18"/>
              </w:rPr>
            </w:pPr>
            <w:r w:rsidRPr="000C0586">
              <w:rPr>
                <w:rFonts w:ascii="Arial" w:hAnsi="Arial" w:cs="Arial"/>
                <w:sz w:val="18"/>
                <w:szCs w:val="18"/>
              </w:rPr>
              <w:t xml:space="preserve">                                            241 </w:t>
            </w:r>
          </w:p>
        </w:tc>
        <w:tc>
          <w:tcPr>
            <w:tcW w:w="1560" w:type="dxa"/>
            <w:tcBorders>
              <w:top w:val="nil"/>
              <w:left w:val="nil"/>
              <w:bottom w:val="nil"/>
              <w:right w:val="nil"/>
            </w:tcBorders>
            <w:shd w:val="clear" w:color="auto" w:fill="auto"/>
            <w:noWrap/>
            <w:vAlign w:val="bottom"/>
            <w:hideMark/>
          </w:tcPr>
          <w:p w14:paraId="463DF458" w14:textId="77777777" w:rsidR="000C0586" w:rsidRPr="000C0586" w:rsidRDefault="000C0586" w:rsidP="000C0586">
            <w:pPr>
              <w:jc w:val="right"/>
              <w:rPr>
                <w:rFonts w:ascii="Arial" w:hAnsi="Arial" w:cs="Arial"/>
                <w:sz w:val="18"/>
                <w:szCs w:val="18"/>
              </w:rPr>
            </w:pPr>
            <w:r w:rsidRPr="000C0586">
              <w:rPr>
                <w:rFonts w:ascii="Arial" w:hAnsi="Arial" w:cs="Arial"/>
                <w:sz w:val="18"/>
                <w:szCs w:val="18"/>
              </w:rPr>
              <w:t xml:space="preserve">               57 </w:t>
            </w:r>
          </w:p>
        </w:tc>
      </w:tr>
      <w:tr w:rsidR="000C0586" w:rsidRPr="000C0586" w14:paraId="3A29CADB" w14:textId="77777777" w:rsidTr="00693B59">
        <w:trPr>
          <w:trHeight w:val="191"/>
        </w:trPr>
        <w:tc>
          <w:tcPr>
            <w:tcW w:w="3261" w:type="dxa"/>
            <w:tcBorders>
              <w:top w:val="single" w:sz="4" w:space="0" w:color="auto"/>
              <w:left w:val="nil"/>
              <w:bottom w:val="single" w:sz="4" w:space="0" w:color="auto"/>
              <w:right w:val="nil"/>
            </w:tcBorders>
            <w:shd w:val="clear" w:color="000000" w:fill="D9D9D9"/>
            <w:noWrap/>
            <w:vAlign w:val="bottom"/>
            <w:hideMark/>
          </w:tcPr>
          <w:p w14:paraId="3EAEC7AB" w14:textId="77777777" w:rsidR="000C0586" w:rsidRPr="000C0586" w:rsidRDefault="000C0586" w:rsidP="000C0586">
            <w:pPr>
              <w:rPr>
                <w:rFonts w:ascii="Arial" w:hAnsi="Arial" w:cs="Arial"/>
                <w:b/>
                <w:bCs/>
                <w:color w:val="000000"/>
                <w:sz w:val="18"/>
                <w:szCs w:val="18"/>
              </w:rPr>
            </w:pPr>
            <w:r w:rsidRPr="000C0586">
              <w:rPr>
                <w:rFonts w:ascii="Arial" w:hAnsi="Arial" w:cs="Arial"/>
                <w:b/>
                <w:bCs/>
                <w:color w:val="000000"/>
                <w:sz w:val="18"/>
                <w:szCs w:val="18"/>
              </w:rPr>
              <w:t xml:space="preserve">            Totale </w:t>
            </w:r>
          </w:p>
        </w:tc>
        <w:tc>
          <w:tcPr>
            <w:tcW w:w="1701" w:type="dxa"/>
            <w:tcBorders>
              <w:top w:val="single" w:sz="4" w:space="0" w:color="auto"/>
              <w:left w:val="nil"/>
              <w:bottom w:val="single" w:sz="4" w:space="0" w:color="auto"/>
              <w:right w:val="nil"/>
            </w:tcBorders>
            <w:shd w:val="clear" w:color="000000" w:fill="D9D9D9"/>
            <w:noWrap/>
            <w:vAlign w:val="bottom"/>
            <w:hideMark/>
          </w:tcPr>
          <w:p w14:paraId="522EBB85" w14:textId="77777777" w:rsidR="000C0586" w:rsidRPr="000C0586" w:rsidRDefault="000C0586" w:rsidP="000C0586">
            <w:pPr>
              <w:jc w:val="right"/>
              <w:rPr>
                <w:rFonts w:ascii="Arial" w:hAnsi="Arial" w:cs="Arial"/>
                <w:b/>
                <w:bCs/>
                <w:sz w:val="18"/>
                <w:szCs w:val="18"/>
              </w:rPr>
            </w:pPr>
            <w:r w:rsidRPr="000C0586">
              <w:rPr>
                <w:rFonts w:ascii="Arial" w:hAnsi="Arial" w:cs="Arial"/>
                <w:b/>
                <w:bCs/>
                <w:sz w:val="18"/>
                <w:szCs w:val="18"/>
              </w:rPr>
              <w:t xml:space="preserve">                                            63.200 </w:t>
            </w:r>
          </w:p>
        </w:tc>
        <w:tc>
          <w:tcPr>
            <w:tcW w:w="1842" w:type="dxa"/>
            <w:tcBorders>
              <w:top w:val="single" w:sz="4" w:space="0" w:color="auto"/>
              <w:left w:val="nil"/>
              <w:bottom w:val="single" w:sz="4" w:space="0" w:color="auto"/>
              <w:right w:val="nil"/>
            </w:tcBorders>
            <w:shd w:val="clear" w:color="000000" w:fill="D9D9D9"/>
            <w:noWrap/>
            <w:vAlign w:val="bottom"/>
            <w:hideMark/>
          </w:tcPr>
          <w:p w14:paraId="65DCB355" w14:textId="77777777" w:rsidR="000C0586" w:rsidRPr="000C0586" w:rsidRDefault="000C0586" w:rsidP="00E463A3">
            <w:pPr>
              <w:jc w:val="right"/>
              <w:rPr>
                <w:rFonts w:ascii="Arial" w:hAnsi="Arial" w:cs="Arial"/>
                <w:b/>
                <w:bCs/>
                <w:sz w:val="18"/>
                <w:szCs w:val="18"/>
              </w:rPr>
            </w:pPr>
            <w:r w:rsidRPr="000C0586">
              <w:rPr>
                <w:rFonts w:ascii="Arial" w:hAnsi="Arial" w:cs="Arial"/>
                <w:b/>
                <w:bCs/>
                <w:sz w:val="18"/>
                <w:szCs w:val="18"/>
              </w:rPr>
              <w:t xml:space="preserve">                                      50.569 </w:t>
            </w:r>
          </w:p>
        </w:tc>
        <w:tc>
          <w:tcPr>
            <w:tcW w:w="1560" w:type="dxa"/>
            <w:tcBorders>
              <w:top w:val="single" w:sz="4" w:space="0" w:color="auto"/>
              <w:left w:val="nil"/>
              <w:bottom w:val="single" w:sz="4" w:space="0" w:color="auto"/>
              <w:right w:val="nil"/>
            </w:tcBorders>
            <w:shd w:val="clear" w:color="000000" w:fill="D9D9D9"/>
            <w:noWrap/>
            <w:vAlign w:val="bottom"/>
            <w:hideMark/>
          </w:tcPr>
          <w:p w14:paraId="5ED8B1CC" w14:textId="77777777" w:rsidR="000C0586" w:rsidRPr="000C0586" w:rsidRDefault="000C0586" w:rsidP="000C0586">
            <w:pPr>
              <w:jc w:val="right"/>
              <w:rPr>
                <w:rFonts w:ascii="Arial" w:hAnsi="Arial" w:cs="Arial"/>
                <w:b/>
                <w:bCs/>
                <w:sz w:val="18"/>
                <w:szCs w:val="18"/>
              </w:rPr>
            </w:pPr>
            <w:r w:rsidRPr="000C0586">
              <w:rPr>
                <w:rFonts w:ascii="Arial" w:hAnsi="Arial" w:cs="Arial"/>
                <w:b/>
                <w:bCs/>
                <w:sz w:val="18"/>
                <w:szCs w:val="18"/>
              </w:rPr>
              <w:t xml:space="preserve">                     12.631 </w:t>
            </w:r>
          </w:p>
        </w:tc>
      </w:tr>
    </w:tbl>
    <w:p w14:paraId="7058150A" w14:textId="77777777" w:rsidR="006326BD" w:rsidRDefault="000C0586" w:rsidP="00E463A3">
      <w:pPr>
        <w:widowControl w:val="0"/>
        <w:tabs>
          <w:tab w:val="left" w:pos="204"/>
        </w:tabs>
        <w:spacing w:before="120" w:after="120"/>
        <w:jc w:val="both"/>
        <w:rPr>
          <w:rFonts w:ascii="Arial" w:hAnsi="Arial" w:cs="Arial"/>
          <w:snapToGrid w:val="0"/>
          <w:sz w:val="20"/>
        </w:rPr>
      </w:pPr>
      <w:r>
        <w:rPr>
          <w:rFonts w:ascii="Arial" w:hAnsi="Arial" w:cs="Arial"/>
          <w:snapToGrid w:val="0"/>
          <w:sz w:val="20"/>
        </w:rPr>
        <w:fldChar w:fldCharType="end"/>
      </w:r>
      <w:r w:rsidR="00AC43B0" w:rsidRPr="003002ED">
        <w:rPr>
          <w:rFonts w:ascii="Arial" w:hAnsi="Arial" w:cs="Arial"/>
          <w:snapToGrid w:val="0"/>
          <w:sz w:val="20"/>
        </w:rPr>
        <w:t>I saldi rappresentano le disponibilità esistenti presso l</w:t>
      </w:r>
      <w:r w:rsidR="00C776FE" w:rsidRPr="003002ED">
        <w:rPr>
          <w:rFonts w:ascii="Arial" w:hAnsi="Arial" w:cs="Arial"/>
          <w:snapToGrid w:val="0"/>
          <w:sz w:val="20"/>
        </w:rPr>
        <w:t>e casse societarie</w:t>
      </w:r>
      <w:r w:rsidR="00EB6347" w:rsidRPr="003002ED">
        <w:rPr>
          <w:rFonts w:ascii="Arial" w:hAnsi="Arial" w:cs="Arial"/>
          <w:snapToGrid w:val="0"/>
          <w:sz w:val="20"/>
        </w:rPr>
        <w:t xml:space="preserve"> e gli istituti di credito.</w:t>
      </w:r>
      <w:r w:rsidR="00823245" w:rsidRPr="003002ED">
        <w:rPr>
          <w:rFonts w:ascii="Arial" w:hAnsi="Arial" w:cs="Arial"/>
          <w:snapToGrid w:val="0"/>
          <w:sz w:val="20"/>
        </w:rPr>
        <w:t xml:space="preserve"> I consistenti </w:t>
      </w:r>
      <w:r w:rsidR="00B47576">
        <w:rPr>
          <w:rFonts w:ascii="Arial" w:hAnsi="Arial" w:cs="Arial"/>
          <w:snapToGrid w:val="0"/>
          <w:sz w:val="20"/>
        </w:rPr>
        <w:t>in</w:t>
      </w:r>
      <w:r w:rsidR="00823245" w:rsidRPr="003002ED">
        <w:rPr>
          <w:rFonts w:ascii="Arial" w:hAnsi="Arial" w:cs="Arial"/>
          <w:snapToGrid w:val="0"/>
          <w:sz w:val="20"/>
        </w:rPr>
        <w:t xml:space="preserve">crementi riguardano essenzialmente la </w:t>
      </w:r>
      <w:r w:rsidR="00B47576">
        <w:rPr>
          <w:rFonts w:ascii="Arial" w:hAnsi="Arial" w:cs="Arial"/>
          <w:snapToGrid w:val="0"/>
          <w:sz w:val="20"/>
        </w:rPr>
        <w:t>controllata ANM</w:t>
      </w:r>
      <w:r w:rsidR="00BE040E" w:rsidRPr="003002ED">
        <w:rPr>
          <w:rFonts w:ascii="Arial" w:hAnsi="Arial" w:cs="Arial"/>
          <w:snapToGrid w:val="0"/>
          <w:sz w:val="20"/>
        </w:rPr>
        <w:t xml:space="preserve">. </w:t>
      </w:r>
    </w:p>
    <w:p w14:paraId="7A0390CE" w14:textId="406CA1DA" w:rsidR="00E463A3" w:rsidRPr="00E463A3" w:rsidRDefault="00E463A3" w:rsidP="00E463A3">
      <w:pPr>
        <w:widowControl w:val="0"/>
        <w:tabs>
          <w:tab w:val="left" w:pos="204"/>
        </w:tabs>
        <w:spacing w:before="120" w:after="120"/>
        <w:jc w:val="both"/>
        <w:rPr>
          <w:rFonts w:ascii="Arial" w:hAnsi="Arial" w:cs="Arial"/>
          <w:snapToGrid w:val="0"/>
          <w:sz w:val="20"/>
        </w:rPr>
      </w:pPr>
      <w:r w:rsidRPr="00E463A3">
        <w:rPr>
          <w:rFonts w:ascii="Arial" w:hAnsi="Arial" w:cs="Arial"/>
          <w:snapToGrid w:val="0"/>
          <w:sz w:val="20"/>
        </w:rPr>
        <w:t xml:space="preserve">Si precisa che tra le disponibilità liquide è esposto il valore di 631 </w:t>
      </w:r>
      <w:r w:rsidR="00FA68F4" w:rsidRPr="00CE6109">
        <w:rPr>
          <w:rFonts w:ascii="Arial" w:hAnsi="Arial" w:cs="Arial"/>
          <w:snapToGrid w:val="0"/>
          <w:sz w:val="20"/>
        </w:rPr>
        <w:t>€/000</w:t>
      </w:r>
      <w:r w:rsidR="00FA68F4" w:rsidRPr="00911B63">
        <w:rPr>
          <w:rFonts w:ascii="Arial" w:hAnsi="Arial" w:cs="Arial"/>
          <w:snapToGrid w:val="0"/>
          <w:sz w:val="20"/>
        </w:rPr>
        <w:t xml:space="preserve"> relativo al</w:t>
      </w:r>
      <w:r w:rsidRPr="00911B63">
        <w:rPr>
          <w:rFonts w:ascii="Arial" w:hAnsi="Arial" w:cs="Arial"/>
          <w:snapToGrid w:val="0"/>
          <w:sz w:val="20"/>
        </w:rPr>
        <w:t xml:space="preserve"> deposito vincolato per le spese sostenute dai commissari e non usufruibile se non per la destinazione cui è vincolato. Rispetto lo scorso anno l’importo si è decrementato di 19 </w:t>
      </w:r>
      <w:r w:rsidR="00FA68F4" w:rsidRPr="00CE6109">
        <w:rPr>
          <w:rFonts w:ascii="Arial" w:hAnsi="Arial" w:cs="Arial"/>
          <w:snapToGrid w:val="0"/>
          <w:sz w:val="20"/>
        </w:rPr>
        <w:t>€/000</w:t>
      </w:r>
      <w:r w:rsidRPr="00CE6109">
        <w:rPr>
          <w:rFonts w:ascii="Arial" w:hAnsi="Arial" w:cs="Arial"/>
          <w:snapToGrid w:val="0"/>
          <w:sz w:val="20"/>
        </w:rPr>
        <w:t xml:space="preserve">, </w:t>
      </w:r>
      <w:r w:rsidRPr="00911B63">
        <w:rPr>
          <w:rFonts w:ascii="Arial" w:hAnsi="Arial" w:cs="Arial"/>
          <w:snapToGrid w:val="0"/>
          <w:sz w:val="20"/>
        </w:rPr>
        <w:t>importo</w:t>
      </w:r>
      <w:r w:rsidRPr="00E463A3">
        <w:rPr>
          <w:rFonts w:ascii="Arial" w:hAnsi="Arial" w:cs="Arial"/>
          <w:snapToGrid w:val="0"/>
          <w:sz w:val="20"/>
        </w:rPr>
        <w:t xml:space="preserve"> relativo a spese sostenute dai commissari nel corso dell’esercizio.</w:t>
      </w:r>
    </w:p>
    <w:p w14:paraId="75D72359" w14:textId="2199FAAC" w:rsidR="006326BD" w:rsidRDefault="00E463A3" w:rsidP="00E463A3">
      <w:pPr>
        <w:widowControl w:val="0"/>
        <w:tabs>
          <w:tab w:val="left" w:pos="204"/>
        </w:tabs>
        <w:spacing w:before="120" w:after="120"/>
        <w:jc w:val="both"/>
        <w:rPr>
          <w:rFonts w:ascii="Arial" w:hAnsi="Arial" w:cs="Arial"/>
          <w:snapToGrid w:val="0"/>
          <w:sz w:val="20"/>
        </w:rPr>
      </w:pPr>
      <w:r w:rsidRPr="00E463A3">
        <w:rPr>
          <w:rFonts w:ascii="Arial" w:hAnsi="Arial" w:cs="Arial"/>
          <w:snapToGrid w:val="0"/>
          <w:sz w:val="20"/>
        </w:rPr>
        <w:t>Si precisa altres</w:t>
      </w:r>
      <w:r w:rsidR="00FA68F4">
        <w:rPr>
          <w:rFonts w:ascii="Arial" w:hAnsi="Arial" w:cs="Arial"/>
          <w:snapToGrid w:val="0"/>
          <w:sz w:val="20"/>
        </w:rPr>
        <w:t>ì</w:t>
      </w:r>
      <w:r w:rsidRPr="00E463A3">
        <w:rPr>
          <w:rFonts w:ascii="Arial" w:hAnsi="Arial" w:cs="Arial"/>
          <w:snapToGrid w:val="0"/>
          <w:sz w:val="20"/>
        </w:rPr>
        <w:t xml:space="preserve"> che l’importo di </w:t>
      </w:r>
      <w:r w:rsidRPr="00911B63">
        <w:rPr>
          <w:rFonts w:ascii="Arial" w:hAnsi="Arial" w:cs="Arial"/>
          <w:snapToGrid w:val="0"/>
          <w:sz w:val="20"/>
        </w:rPr>
        <w:t xml:space="preserve">946 </w:t>
      </w:r>
      <w:r w:rsidR="00FA68F4" w:rsidRPr="00CE6109">
        <w:rPr>
          <w:rFonts w:ascii="Arial" w:hAnsi="Arial" w:cs="Arial"/>
          <w:snapToGrid w:val="0"/>
          <w:sz w:val="20"/>
        </w:rPr>
        <w:t>€/000</w:t>
      </w:r>
      <w:r w:rsidRPr="00CE6109">
        <w:rPr>
          <w:rFonts w:ascii="Arial" w:hAnsi="Arial" w:cs="Arial"/>
          <w:snapToGrid w:val="0"/>
          <w:sz w:val="20"/>
        </w:rPr>
        <w:t xml:space="preserve"> </w:t>
      </w:r>
      <w:r w:rsidRPr="00911B63">
        <w:rPr>
          <w:rFonts w:ascii="Arial" w:hAnsi="Arial" w:cs="Arial"/>
          <w:snapToGrid w:val="0"/>
          <w:sz w:val="20"/>
        </w:rPr>
        <w:t>è</w:t>
      </w:r>
      <w:r w:rsidRPr="00E463A3">
        <w:rPr>
          <w:rFonts w:ascii="Arial" w:hAnsi="Arial" w:cs="Arial"/>
          <w:snapToGrid w:val="0"/>
          <w:sz w:val="20"/>
        </w:rPr>
        <w:t xml:space="preserve"> relativo ad un incasso ricevuto dal Consorzio Unico Campania e trattenuto dall’istituto di credito MPS</w:t>
      </w:r>
      <w:r w:rsidR="00FA68F4">
        <w:rPr>
          <w:rFonts w:ascii="Arial" w:hAnsi="Arial" w:cs="Arial"/>
          <w:snapToGrid w:val="0"/>
          <w:sz w:val="20"/>
        </w:rPr>
        <w:t>.</w:t>
      </w:r>
    </w:p>
    <w:p w14:paraId="5973F88E" w14:textId="77777777" w:rsidR="00FA68F4" w:rsidRDefault="00FA68F4" w:rsidP="00E463A3">
      <w:pPr>
        <w:widowControl w:val="0"/>
        <w:tabs>
          <w:tab w:val="left" w:pos="204"/>
        </w:tabs>
        <w:spacing w:before="120" w:after="120"/>
        <w:jc w:val="both"/>
        <w:rPr>
          <w:rFonts w:ascii="Arial" w:hAnsi="Arial" w:cs="Arial"/>
          <w:snapToGrid w:val="0"/>
          <w:sz w:val="20"/>
        </w:rPr>
      </w:pPr>
    </w:p>
    <w:p w14:paraId="511336BA" w14:textId="77777777" w:rsidR="00470206" w:rsidRPr="003002ED" w:rsidRDefault="00470206" w:rsidP="005E6F2C">
      <w:pPr>
        <w:widowControl w:val="0"/>
        <w:spacing w:before="120" w:after="120"/>
        <w:jc w:val="both"/>
        <w:rPr>
          <w:rFonts w:ascii="Arial" w:hAnsi="Arial" w:cs="Arial"/>
          <w:b/>
          <w:snapToGrid w:val="0"/>
          <w:sz w:val="20"/>
          <w:u w:val="single"/>
        </w:rPr>
      </w:pPr>
      <w:r w:rsidRPr="003002ED">
        <w:rPr>
          <w:rFonts w:ascii="Arial" w:hAnsi="Arial" w:cs="Arial"/>
          <w:b/>
          <w:snapToGrid w:val="0"/>
          <w:sz w:val="20"/>
          <w:u w:val="single"/>
        </w:rPr>
        <w:t>Ratei e risconti attivi</w:t>
      </w:r>
    </w:p>
    <w:p w14:paraId="7145DE92" w14:textId="77777777" w:rsidR="00D65236" w:rsidRDefault="00470206" w:rsidP="005E6F2C">
      <w:pPr>
        <w:widowControl w:val="0"/>
        <w:tabs>
          <w:tab w:val="left" w:pos="1260"/>
          <w:tab w:val="left" w:pos="5147"/>
        </w:tabs>
        <w:spacing w:before="120" w:after="120"/>
        <w:jc w:val="both"/>
        <w:rPr>
          <w:rFonts w:ascii="Arial" w:hAnsi="Arial" w:cs="Arial"/>
          <w:snapToGrid w:val="0"/>
          <w:sz w:val="20"/>
        </w:rPr>
      </w:pPr>
      <w:r w:rsidRPr="003002ED">
        <w:rPr>
          <w:rFonts w:ascii="Arial" w:hAnsi="Arial" w:cs="Arial"/>
          <w:snapToGrid w:val="0"/>
          <w:sz w:val="20"/>
        </w:rPr>
        <w:t xml:space="preserve">I risconti attivi ammontano a </w:t>
      </w:r>
      <w:r w:rsidR="0008614F" w:rsidRPr="003002ED">
        <w:rPr>
          <w:rFonts w:ascii="Arial" w:hAnsi="Arial" w:cs="Arial"/>
          <w:snapToGrid w:val="0"/>
          <w:sz w:val="20"/>
        </w:rPr>
        <w:t>euro</w:t>
      </w:r>
      <w:r w:rsidR="006C78DE" w:rsidRPr="003002ED">
        <w:rPr>
          <w:rFonts w:ascii="Arial" w:hAnsi="Arial" w:cs="Arial"/>
          <w:snapToGrid w:val="0"/>
          <w:sz w:val="20"/>
        </w:rPr>
        <w:t xml:space="preserve"> </w:t>
      </w:r>
      <w:r w:rsidR="00DF6B92">
        <w:rPr>
          <w:rFonts w:ascii="Arial" w:hAnsi="Arial" w:cs="Arial"/>
          <w:snapToGrid w:val="0"/>
          <w:sz w:val="20"/>
        </w:rPr>
        <w:t xml:space="preserve">3.449 </w:t>
      </w:r>
      <w:r w:rsidR="007A794D" w:rsidRPr="003002ED">
        <w:rPr>
          <w:rFonts w:ascii="Arial" w:hAnsi="Arial" w:cs="Arial"/>
          <w:snapToGrid w:val="0"/>
          <w:sz w:val="20"/>
        </w:rPr>
        <w:t>mila</w:t>
      </w:r>
      <w:r w:rsidR="000C3EB7">
        <w:rPr>
          <w:rFonts w:ascii="Arial" w:hAnsi="Arial" w:cs="Arial"/>
          <w:snapToGrid w:val="0"/>
          <w:sz w:val="20"/>
        </w:rPr>
        <w:t>.</w:t>
      </w:r>
      <w:r w:rsidR="00A52BFA" w:rsidRPr="003002ED">
        <w:rPr>
          <w:rFonts w:ascii="Arial" w:hAnsi="Arial" w:cs="Arial"/>
          <w:snapToGrid w:val="0"/>
          <w:sz w:val="20"/>
        </w:rPr>
        <w:t xml:space="preserve"> Tali importi riguardano essenzialmente la nostra Controllata.</w:t>
      </w:r>
    </w:p>
    <w:p w14:paraId="692760EC" w14:textId="758DCC74" w:rsidR="00CE1D56" w:rsidRDefault="00A52BFA" w:rsidP="008B3BFA">
      <w:pPr>
        <w:pStyle w:val="Intestazione"/>
        <w:spacing w:before="120" w:after="120"/>
        <w:jc w:val="both"/>
        <w:rPr>
          <w:rFonts w:ascii="Arial" w:hAnsi="Arial" w:cs="Arial"/>
          <w:snapToGrid w:val="0"/>
        </w:rPr>
      </w:pPr>
      <w:r w:rsidRPr="003002ED">
        <w:rPr>
          <w:rFonts w:ascii="Arial" w:hAnsi="Arial" w:cs="Arial"/>
          <w:snapToGrid w:val="0"/>
        </w:rPr>
        <w:t xml:space="preserve"> </w:t>
      </w:r>
      <w:r w:rsidR="00D65236" w:rsidRPr="008B3BFA">
        <w:rPr>
          <w:rFonts w:ascii="Arial" w:hAnsi="Arial" w:cs="Arial"/>
          <w:i/>
          <w:iCs/>
          <w:snapToGrid w:val="0"/>
          <w:sz w:val="18"/>
          <w:szCs w:val="18"/>
        </w:rPr>
        <w:t>Euro/000</w:t>
      </w:r>
    </w:p>
    <w:tbl>
      <w:tblPr>
        <w:tblW w:w="8389" w:type="dxa"/>
        <w:tblInd w:w="70" w:type="dxa"/>
        <w:tblCellMar>
          <w:left w:w="70" w:type="dxa"/>
          <w:right w:w="70" w:type="dxa"/>
        </w:tblCellMar>
        <w:tblLook w:val="04A0" w:firstRow="1" w:lastRow="0" w:firstColumn="1" w:lastColumn="0" w:noHBand="0" w:noVBand="1"/>
      </w:tblPr>
      <w:tblGrid>
        <w:gridCol w:w="2977"/>
        <w:gridCol w:w="1701"/>
        <w:gridCol w:w="142"/>
        <w:gridCol w:w="1909"/>
        <w:gridCol w:w="430"/>
        <w:gridCol w:w="1230"/>
      </w:tblGrid>
      <w:tr w:rsidR="00CE1D56" w14:paraId="18122E55" w14:textId="77777777" w:rsidTr="00CE1D56">
        <w:trPr>
          <w:trHeight w:val="270"/>
        </w:trPr>
        <w:tc>
          <w:tcPr>
            <w:tcW w:w="2977" w:type="dxa"/>
            <w:tcBorders>
              <w:top w:val="single" w:sz="4" w:space="0" w:color="auto"/>
              <w:left w:val="nil"/>
              <w:bottom w:val="single" w:sz="4" w:space="0" w:color="auto"/>
              <w:right w:val="nil"/>
            </w:tcBorders>
            <w:shd w:val="clear" w:color="000000" w:fill="D9D9D9"/>
            <w:noWrap/>
            <w:vAlign w:val="bottom"/>
            <w:hideMark/>
          </w:tcPr>
          <w:p w14:paraId="26BE3865" w14:textId="4961E841" w:rsidR="00CE1D56" w:rsidRDefault="00CE1D56">
            <w:pPr>
              <w:rPr>
                <w:rFonts w:ascii="Arial" w:hAnsi="Arial" w:cs="Arial"/>
                <w:sz w:val="18"/>
                <w:szCs w:val="18"/>
              </w:rPr>
            </w:pPr>
            <w:r>
              <w:rPr>
                <w:rFonts w:ascii="Arial" w:hAnsi="Arial" w:cs="Arial"/>
                <w:sz w:val="18"/>
                <w:szCs w:val="18"/>
              </w:rPr>
              <w:t> </w:t>
            </w:r>
            <w:r w:rsidR="00100B08">
              <w:rPr>
                <w:rFonts w:ascii="Arial" w:hAnsi="Arial" w:cs="Arial"/>
                <w:sz w:val="18"/>
                <w:szCs w:val="18"/>
              </w:rPr>
              <w:t>Valori in Euro/000</w:t>
            </w:r>
          </w:p>
        </w:tc>
        <w:tc>
          <w:tcPr>
            <w:tcW w:w="1701" w:type="dxa"/>
            <w:tcBorders>
              <w:top w:val="single" w:sz="4" w:space="0" w:color="auto"/>
              <w:left w:val="nil"/>
              <w:bottom w:val="single" w:sz="4" w:space="0" w:color="auto"/>
              <w:right w:val="nil"/>
            </w:tcBorders>
            <w:shd w:val="clear" w:color="000000" w:fill="D9D9D9"/>
            <w:noWrap/>
            <w:vAlign w:val="bottom"/>
            <w:hideMark/>
          </w:tcPr>
          <w:p w14:paraId="6A863B6D" w14:textId="77777777" w:rsidR="00CE1D56" w:rsidRPr="00CE1D56" w:rsidRDefault="00CE1D56">
            <w:pPr>
              <w:jc w:val="center"/>
              <w:rPr>
                <w:rFonts w:ascii="Arial" w:hAnsi="Arial" w:cs="Arial"/>
                <w:sz w:val="18"/>
                <w:szCs w:val="18"/>
              </w:rPr>
            </w:pPr>
            <w:r w:rsidRPr="00CE1D56">
              <w:rPr>
                <w:rFonts w:ascii="Arial" w:hAnsi="Arial" w:cs="Arial"/>
                <w:sz w:val="18"/>
                <w:szCs w:val="18"/>
              </w:rPr>
              <w:t>31/12/2019</w:t>
            </w:r>
          </w:p>
        </w:tc>
        <w:tc>
          <w:tcPr>
            <w:tcW w:w="2481" w:type="dxa"/>
            <w:gridSpan w:val="3"/>
            <w:tcBorders>
              <w:top w:val="single" w:sz="4" w:space="0" w:color="auto"/>
              <w:left w:val="nil"/>
              <w:bottom w:val="single" w:sz="4" w:space="0" w:color="auto"/>
              <w:right w:val="nil"/>
            </w:tcBorders>
            <w:shd w:val="clear" w:color="000000" w:fill="D9D9D9"/>
            <w:noWrap/>
            <w:vAlign w:val="bottom"/>
            <w:hideMark/>
          </w:tcPr>
          <w:p w14:paraId="3AA2C267" w14:textId="77777777" w:rsidR="00CE1D56" w:rsidRPr="00CE1D56" w:rsidRDefault="00CE1D56">
            <w:pPr>
              <w:jc w:val="center"/>
              <w:rPr>
                <w:rFonts w:ascii="Arial" w:hAnsi="Arial" w:cs="Arial"/>
                <w:sz w:val="18"/>
                <w:szCs w:val="18"/>
              </w:rPr>
            </w:pPr>
            <w:r w:rsidRPr="00CE1D56">
              <w:rPr>
                <w:rFonts w:ascii="Arial" w:hAnsi="Arial" w:cs="Arial"/>
                <w:sz w:val="18"/>
                <w:szCs w:val="18"/>
              </w:rPr>
              <w:t>31/12/2018</w:t>
            </w:r>
          </w:p>
        </w:tc>
        <w:tc>
          <w:tcPr>
            <w:tcW w:w="1230" w:type="dxa"/>
            <w:tcBorders>
              <w:top w:val="single" w:sz="4" w:space="0" w:color="auto"/>
              <w:left w:val="nil"/>
              <w:bottom w:val="single" w:sz="4" w:space="0" w:color="auto"/>
              <w:right w:val="nil"/>
            </w:tcBorders>
            <w:shd w:val="clear" w:color="000000" w:fill="D9D9D9"/>
            <w:noWrap/>
            <w:vAlign w:val="bottom"/>
            <w:hideMark/>
          </w:tcPr>
          <w:p w14:paraId="1108C249" w14:textId="77777777" w:rsidR="00CE1D56" w:rsidRPr="00CE1D56" w:rsidRDefault="00CE1D56">
            <w:pPr>
              <w:jc w:val="center"/>
              <w:rPr>
                <w:rFonts w:ascii="Arial" w:hAnsi="Arial" w:cs="Arial"/>
                <w:sz w:val="18"/>
                <w:szCs w:val="18"/>
              </w:rPr>
            </w:pPr>
            <w:r w:rsidRPr="00CE1D56">
              <w:rPr>
                <w:rFonts w:ascii="Arial" w:hAnsi="Arial" w:cs="Arial"/>
                <w:sz w:val="18"/>
                <w:szCs w:val="18"/>
              </w:rPr>
              <w:t xml:space="preserve"> variazione </w:t>
            </w:r>
          </w:p>
        </w:tc>
      </w:tr>
      <w:tr w:rsidR="00CE1D56" w14:paraId="3D8FF7C2" w14:textId="77777777" w:rsidTr="00CE1D56">
        <w:trPr>
          <w:trHeight w:val="315"/>
        </w:trPr>
        <w:tc>
          <w:tcPr>
            <w:tcW w:w="2977" w:type="dxa"/>
            <w:tcBorders>
              <w:top w:val="nil"/>
              <w:left w:val="nil"/>
              <w:bottom w:val="nil"/>
              <w:right w:val="nil"/>
            </w:tcBorders>
            <w:shd w:val="clear" w:color="auto" w:fill="auto"/>
            <w:noWrap/>
            <w:vAlign w:val="bottom"/>
            <w:hideMark/>
          </w:tcPr>
          <w:p w14:paraId="0C88351E" w14:textId="77777777" w:rsidR="00CE1D56" w:rsidRPr="00CE1D56" w:rsidRDefault="00CE1D56">
            <w:pPr>
              <w:rPr>
                <w:rFonts w:ascii="Arial" w:hAnsi="Arial" w:cs="Arial"/>
                <w:sz w:val="18"/>
                <w:szCs w:val="18"/>
              </w:rPr>
            </w:pPr>
            <w:r w:rsidRPr="00CE1D56">
              <w:rPr>
                <w:rFonts w:ascii="Arial" w:hAnsi="Arial" w:cs="Arial"/>
                <w:sz w:val="18"/>
                <w:szCs w:val="18"/>
              </w:rPr>
              <w:t>Ratei e risconti attivi</w:t>
            </w:r>
          </w:p>
        </w:tc>
        <w:tc>
          <w:tcPr>
            <w:tcW w:w="1843" w:type="dxa"/>
            <w:gridSpan w:val="2"/>
            <w:tcBorders>
              <w:top w:val="nil"/>
              <w:left w:val="nil"/>
              <w:bottom w:val="nil"/>
              <w:right w:val="nil"/>
            </w:tcBorders>
            <w:shd w:val="clear" w:color="auto" w:fill="auto"/>
            <w:noWrap/>
            <w:vAlign w:val="bottom"/>
            <w:hideMark/>
          </w:tcPr>
          <w:p w14:paraId="606A8940" w14:textId="77777777" w:rsidR="00CE1D56" w:rsidRDefault="00CE1D56" w:rsidP="00CE1D56">
            <w:pPr>
              <w:tabs>
                <w:tab w:val="left" w:pos="1773"/>
              </w:tabs>
              <w:jc w:val="right"/>
              <w:rPr>
                <w:rFonts w:ascii="Arial" w:hAnsi="Arial" w:cs="Arial"/>
                <w:sz w:val="18"/>
                <w:szCs w:val="18"/>
              </w:rPr>
            </w:pPr>
            <w:r>
              <w:rPr>
                <w:rFonts w:ascii="Arial" w:hAnsi="Arial" w:cs="Arial"/>
                <w:sz w:val="18"/>
                <w:szCs w:val="18"/>
              </w:rPr>
              <w:t xml:space="preserve">                             509 </w:t>
            </w:r>
          </w:p>
        </w:tc>
        <w:tc>
          <w:tcPr>
            <w:tcW w:w="1909" w:type="dxa"/>
            <w:tcBorders>
              <w:top w:val="nil"/>
              <w:left w:val="nil"/>
              <w:bottom w:val="nil"/>
              <w:right w:val="nil"/>
            </w:tcBorders>
            <w:shd w:val="clear" w:color="auto" w:fill="auto"/>
            <w:noWrap/>
            <w:vAlign w:val="bottom"/>
            <w:hideMark/>
          </w:tcPr>
          <w:p w14:paraId="722055C8" w14:textId="77777777" w:rsidR="00CE1D56" w:rsidRDefault="00CE1D56" w:rsidP="00CE1D56">
            <w:pPr>
              <w:jc w:val="right"/>
              <w:rPr>
                <w:rFonts w:ascii="Arial" w:hAnsi="Arial" w:cs="Arial"/>
                <w:sz w:val="18"/>
                <w:szCs w:val="18"/>
              </w:rPr>
            </w:pPr>
            <w:r>
              <w:rPr>
                <w:rFonts w:ascii="Arial" w:hAnsi="Arial" w:cs="Arial"/>
                <w:sz w:val="18"/>
                <w:szCs w:val="18"/>
              </w:rPr>
              <w:t xml:space="preserve">                                        3.449 </w:t>
            </w:r>
          </w:p>
        </w:tc>
        <w:tc>
          <w:tcPr>
            <w:tcW w:w="1660" w:type="dxa"/>
            <w:gridSpan w:val="2"/>
            <w:tcBorders>
              <w:top w:val="nil"/>
              <w:left w:val="nil"/>
              <w:bottom w:val="nil"/>
              <w:right w:val="nil"/>
            </w:tcBorders>
            <w:shd w:val="clear" w:color="auto" w:fill="auto"/>
            <w:noWrap/>
            <w:vAlign w:val="bottom"/>
            <w:hideMark/>
          </w:tcPr>
          <w:p w14:paraId="5D87CB52" w14:textId="77777777" w:rsidR="00CE1D56" w:rsidRDefault="00CE1D56" w:rsidP="00CE1D56">
            <w:pPr>
              <w:jc w:val="right"/>
              <w:rPr>
                <w:rFonts w:ascii="Arial" w:hAnsi="Arial" w:cs="Arial"/>
                <w:sz w:val="18"/>
                <w:szCs w:val="18"/>
              </w:rPr>
            </w:pPr>
            <w:r>
              <w:rPr>
                <w:rFonts w:ascii="Arial" w:hAnsi="Arial" w:cs="Arial"/>
                <w:sz w:val="18"/>
                <w:szCs w:val="18"/>
              </w:rPr>
              <w:t xml:space="preserve">                    2.940 </w:t>
            </w:r>
          </w:p>
        </w:tc>
      </w:tr>
      <w:tr w:rsidR="00CE1D56" w14:paraId="3112B3BF" w14:textId="77777777" w:rsidTr="00CE1D56">
        <w:trPr>
          <w:trHeight w:val="315"/>
        </w:trPr>
        <w:tc>
          <w:tcPr>
            <w:tcW w:w="2977" w:type="dxa"/>
            <w:tcBorders>
              <w:top w:val="single" w:sz="4" w:space="0" w:color="auto"/>
              <w:left w:val="nil"/>
              <w:bottom w:val="single" w:sz="4" w:space="0" w:color="auto"/>
              <w:right w:val="nil"/>
            </w:tcBorders>
            <w:shd w:val="clear" w:color="000000" w:fill="D9D9D9"/>
            <w:noWrap/>
            <w:vAlign w:val="bottom"/>
            <w:hideMark/>
          </w:tcPr>
          <w:p w14:paraId="5720A7B0" w14:textId="77777777" w:rsidR="00CE1D56" w:rsidRPr="00CE1D56" w:rsidRDefault="00CE1D56">
            <w:pPr>
              <w:rPr>
                <w:rFonts w:ascii="Arial" w:hAnsi="Arial" w:cs="Arial"/>
                <w:sz w:val="18"/>
                <w:szCs w:val="18"/>
              </w:rPr>
            </w:pPr>
            <w:r w:rsidRPr="00CE1D56">
              <w:rPr>
                <w:rFonts w:ascii="Arial" w:hAnsi="Arial" w:cs="Arial"/>
                <w:sz w:val="18"/>
                <w:szCs w:val="18"/>
              </w:rPr>
              <w:t xml:space="preserve">            Totale </w:t>
            </w:r>
          </w:p>
        </w:tc>
        <w:tc>
          <w:tcPr>
            <w:tcW w:w="1843" w:type="dxa"/>
            <w:gridSpan w:val="2"/>
            <w:tcBorders>
              <w:top w:val="single" w:sz="4" w:space="0" w:color="auto"/>
              <w:left w:val="nil"/>
              <w:bottom w:val="single" w:sz="4" w:space="0" w:color="auto"/>
              <w:right w:val="nil"/>
            </w:tcBorders>
            <w:shd w:val="clear" w:color="000000" w:fill="D9D9D9"/>
            <w:noWrap/>
            <w:vAlign w:val="bottom"/>
            <w:hideMark/>
          </w:tcPr>
          <w:p w14:paraId="1ACDFF74" w14:textId="77777777" w:rsidR="00CE1D56" w:rsidRPr="00CE1D56" w:rsidRDefault="00CE1D56" w:rsidP="00CE1D56">
            <w:pPr>
              <w:jc w:val="right"/>
              <w:rPr>
                <w:rFonts w:ascii="Arial" w:hAnsi="Arial" w:cs="Arial"/>
                <w:sz w:val="18"/>
                <w:szCs w:val="18"/>
              </w:rPr>
            </w:pPr>
            <w:r w:rsidRPr="00CE1D56">
              <w:rPr>
                <w:rFonts w:ascii="Arial" w:hAnsi="Arial" w:cs="Arial"/>
                <w:sz w:val="18"/>
                <w:szCs w:val="18"/>
              </w:rPr>
              <w:t xml:space="preserve">                                                 509 </w:t>
            </w:r>
          </w:p>
        </w:tc>
        <w:tc>
          <w:tcPr>
            <w:tcW w:w="1909" w:type="dxa"/>
            <w:tcBorders>
              <w:top w:val="single" w:sz="4" w:space="0" w:color="auto"/>
              <w:left w:val="nil"/>
              <w:bottom w:val="single" w:sz="4" w:space="0" w:color="auto"/>
              <w:right w:val="nil"/>
            </w:tcBorders>
            <w:shd w:val="clear" w:color="000000" w:fill="D9D9D9"/>
            <w:noWrap/>
            <w:vAlign w:val="bottom"/>
            <w:hideMark/>
          </w:tcPr>
          <w:p w14:paraId="6BCDC9EC" w14:textId="77777777" w:rsidR="00CE1D56" w:rsidRPr="00CE1D56" w:rsidRDefault="00CE1D56" w:rsidP="00CE1D56">
            <w:pPr>
              <w:jc w:val="right"/>
              <w:rPr>
                <w:rFonts w:ascii="Arial" w:hAnsi="Arial" w:cs="Arial"/>
                <w:sz w:val="18"/>
                <w:szCs w:val="18"/>
              </w:rPr>
            </w:pPr>
            <w:r w:rsidRPr="00CE1D56">
              <w:rPr>
                <w:rFonts w:ascii="Arial" w:hAnsi="Arial" w:cs="Arial"/>
                <w:sz w:val="18"/>
                <w:szCs w:val="18"/>
              </w:rPr>
              <w:t xml:space="preserve">                                        3.449 </w:t>
            </w:r>
          </w:p>
        </w:tc>
        <w:tc>
          <w:tcPr>
            <w:tcW w:w="1660" w:type="dxa"/>
            <w:gridSpan w:val="2"/>
            <w:tcBorders>
              <w:top w:val="single" w:sz="4" w:space="0" w:color="auto"/>
              <w:left w:val="nil"/>
              <w:bottom w:val="single" w:sz="4" w:space="0" w:color="auto"/>
              <w:right w:val="nil"/>
            </w:tcBorders>
            <w:shd w:val="clear" w:color="000000" w:fill="D9D9D9"/>
            <w:noWrap/>
            <w:vAlign w:val="bottom"/>
            <w:hideMark/>
          </w:tcPr>
          <w:p w14:paraId="50C85932" w14:textId="77777777" w:rsidR="00CE1D56" w:rsidRPr="00CE1D56" w:rsidRDefault="00CE1D56" w:rsidP="00CE1D56">
            <w:pPr>
              <w:jc w:val="right"/>
              <w:rPr>
                <w:rFonts w:ascii="Arial" w:hAnsi="Arial" w:cs="Arial"/>
                <w:sz w:val="18"/>
                <w:szCs w:val="18"/>
              </w:rPr>
            </w:pPr>
            <w:r w:rsidRPr="00CE1D56">
              <w:rPr>
                <w:rFonts w:ascii="Arial" w:hAnsi="Arial" w:cs="Arial"/>
                <w:sz w:val="18"/>
                <w:szCs w:val="18"/>
              </w:rPr>
              <w:t xml:space="preserve">-                      2.940 </w:t>
            </w:r>
          </w:p>
        </w:tc>
      </w:tr>
    </w:tbl>
    <w:p w14:paraId="35868566" w14:textId="77777777" w:rsidR="00470206" w:rsidRDefault="00470206" w:rsidP="00DF6B92">
      <w:pPr>
        <w:widowControl w:val="0"/>
        <w:tabs>
          <w:tab w:val="left" w:pos="1260"/>
          <w:tab w:val="left" w:pos="5147"/>
        </w:tabs>
        <w:spacing w:before="120" w:after="120"/>
        <w:jc w:val="both"/>
        <w:rPr>
          <w:rFonts w:ascii="Arial" w:hAnsi="Arial" w:cs="Arial"/>
          <w:snapToGrid w:val="0"/>
          <w:sz w:val="20"/>
        </w:rPr>
      </w:pPr>
      <w:r w:rsidRPr="003002ED">
        <w:rPr>
          <w:rFonts w:ascii="Arial" w:hAnsi="Arial" w:cs="Arial"/>
          <w:snapToGrid w:val="0"/>
          <w:sz w:val="20"/>
        </w:rPr>
        <w:t>Gli import</w:t>
      </w:r>
      <w:r w:rsidR="00A52BFA" w:rsidRPr="003002ED">
        <w:rPr>
          <w:rFonts w:ascii="Arial" w:hAnsi="Arial" w:cs="Arial"/>
          <w:snapToGrid w:val="0"/>
          <w:sz w:val="20"/>
        </w:rPr>
        <w:t xml:space="preserve">i più significativi riguardano il risconto dei premi assicurativi versati anticipatamente da ANM nell’anno ma di competenza </w:t>
      </w:r>
      <w:r w:rsidR="00DF6B92">
        <w:rPr>
          <w:rFonts w:ascii="Arial" w:hAnsi="Arial" w:cs="Arial"/>
          <w:snapToGrid w:val="0"/>
          <w:sz w:val="20"/>
        </w:rPr>
        <w:t>dell’esercizio successivo</w:t>
      </w:r>
      <w:r w:rsidR="00A52BFA" w:rsidRPr="003002ED">
        <w:rPr>
          <w:rFonts w:ascii="Arial" w:hAnsi="Arial" w:cs="Arial"/>
          <w:snapToGrid w:val="0"/>
          <w:sz w:val="20"/>
        </w:rPr>
        <w:t>.</w:t>
      </w:r>
    </w:p>
    <w:p w14:paraId="2F5A96DF" w14:textId="77777777" w:rsidR="00B24813" w:rsidRPr="003002ED" w:rsidRDefault="00B24813" w:rsidP="00E85969">
      <w:pPr>
        <w:widowControl w:val="0"/>
        <w:shd w:val="clear" w:color="auto" w:fill="F3F3F3"/>
        <w:tabs>
          <w:tab w:val="left" w:pos="7766"/>
        </w:tabs>
        <w:spacing w:before="120" w:after="120"/>
        <w:jc w:val="both"/>
        <w:rPr>
          <w:rFonts w:ascii="Arial" w:hAnsi="Arial" w:cs="Arial"/>
          <w:b/>
          <w:snapToGrid w:val="0"/>
          <w:sz w:val="20"/>
        </w:rPr>
      </w:pPr>
      <w:r w:rsidRPr="003002ED">
        <w:rPr>
          <w:rFonts w:ascii="Arial" w:hAnsi="Arial" w:cs="Arial"/>
          <w:b/>
          <w:snapToGrid w:val="0"/>
          <w:sz w:val="20"/>
        </w:rPr>
        <w:t>COMPOSIZIONE DEL PATRIMONIO NETTO (ART. 2427 co 1 n. 7-BIS)</w:t>
      </w:r>
    </w:p>
    <w:p w14:paraId="4E546082" w14:textId="7209E12D" w:rsidR="00CE1D56" w:rsidRDefault="00B24813" w:rsidP="005E6F2C">
      <w:pPr>
        <w:widowControl w:val="0"/>
        <w:spacing w:before="120" w:after="120"/>
        <w:jc w:val="both"/>
        <w:rPr>
          <w:rFonts w:ascii="Arial" w:hAnsi="Arial" w:cs="Arial"/>
          <w:snapToGrid w:val="0"/>
          <w:sz w:val="20"/>
        </w:rPr>
      </w:pPr>
      <w:r w:rsidRPr="003002ED">
        <w:rPr>
          <w:rFonts w:ascii="Arial" w:hAnsi="Arial" w:cs="Arial"/>
          <w:snapToGrid w:val="0"/>
          <w:sz w:val="20"/>
        </w:rPr>
        <w:t>La composizione del patrimonio netto consolidato è di seguito dettagliata:</w:t>
      </w:r>
      <w:r w:rsidR="00CE6109">
        <w:rPr>
          <w:noProof/>
        </w:rPr>
        <w:lastRenderedPageBreak/>
        <w:drawing>
          <wp:inline distT="0" distB="0" distL="0" distR="0" wp14:anchorId="1B8DAB63" wp14:editId="2758CB8A">
            <wp:extent cx="5400675" cy="26003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600325"/>
                    </a:xfrm>
                    <a:prstGeom prst="rect">
                      <a:avLst/>
                    </a:prstGeom>
                    <a:noFill/>
                    <a:ln>
                      <a:noFill/>
                    </a:ln>
                  </pic:spPr>
                </pic:pic>
              </a:graphicData>
            </a:graphic>
          </wp:inline>
        </w:drawing>
      </w:r>
    </w:p>
    <w:p w14:paraId="16074B3F" w14:textId="77777777" w:rsidR="00FA68F4" w:rsidRDefault="00FA68F4" w:rsidP="005E6F2C">
      <w:pPr>
        <w:pStyle w:val="Intestazione"/>
        <w:spacing w:before="120" w:after="120"/>
        <w:jc w:val="both"/>
        <w:rPr>
          <w:rFonts w:ascii="Arial" w:hAnsi="Arial" w:cs="Arial"/>
          <w:snapToGrid w:val="0"/>
        </w:rPr>
      </w:pPr>
    </w:p>
    <w:p w14:paraId="30DE7892" w14:textId="64796268" w:rsidR="00A27106" w:rsidRDefault="00A27106" w:rsidP="005E6F2C">
      <w:pPr>
        <w:pStyle w:val="Intestazione"/>
        <w:spacing w:before="120" w:after="120"/>
        <w:jc w:val="both"/>
        <w:rPr>
          <w:rFonts w:ascii="Arial" w:hAnsi="Arial" w:cs="Arial"/>
          <w:snapToGrid w:val="0"/>
        </w:rPr>
      </w:pPr>
      <w:r>
        <w:rPr>
          <w:rFonts w:ascii="Arial" w:hAnsi="Arial" w:cs="Arial"/>
          <w:snapToGrid w:val="0"/>
        </w:rPr>
        <w:t xml:space="preserve">Di seguito il prospetto di riconciliazione tra PN </w:t>
      </w:r>
      <w:r w:rsidR="00F94DE2">
        <w:rPr>
          <w:rFonts w:ascii="Arial" w:hAnsi="Arial" w:cs="Arial"/>
          <w:snapToGrid w:val="0"/>
        </w:rPr>
        <w:t>C</w:t>
      </w:r>
      <w:r>
        <w:rPr>
          <w:rFonts w:ascii="Arial" w:hAnsi="Arial" w:cs="Arial"/>
          <w:snapToGrid w:val="0"/>
        </w:rPr>
        <w:t>ivi</w:t>
      </w:r>
      <w:r w:rsidR="00F94DE2">
        <w:rPr>
          <w:rFonts w:ascii="Arial" w:hAnsi="Arial" w:cs="Arial"/>
          <w:snapToGrid w:val="0"/>
        </w:rPr>
        <w:t>li</w:t>
      </w:r>
      <w:r>
        <w:rPr>
          <w:rFonts w:ascii="Arial" w:hAnsi="Arial" w:cs="Arial"/>
          <w:snapToGrid w:val="0"/>
        </w:rPr>
        <w:t xml:space="preserve">stico </w:t>
      </w:r>
      <w:r w:rsidR="00EA7C8E">
        <w:rPr>
          <w:rFonts w:ascii="Arial" w:hAnsi="Arial" w:cs="Arial"/>
          <w:snapToGrid w:val="0"/>
        </w:rPr>
        <w:t>e Consolidato</w:t>
      </w:r>
      <w:r w:rsidR="000B6812">
        <w:rPr>
          <w:rFonts w:ascii="Arial" w:hAnsi="Arial" w:cs="Arial"/>
          <w:snapToGrid w:val="0"/>
        </w:rPr>
        <w:t>:</w:t>
      </w:r>
    </w:p>
    <w:p w14:paraId="1FC12A24" w14:textId="5FD940A6" w:rsidR="00D65236" w:rsidRPr="008B3BFA" w:rsidRDefault="00D65236" w:rsidP="005E6F2C">
      <w:pPr>
        <w:pStyle w:val="Intestazione"/>
        <w:spacing w:before="120" w:after="120"/>
        <w:jc w:val="both"/>
        <w:rPr>
          <w:rFonts w:ascii="Arial" w:hAnsi="Arial" w:cs="Arial"/>
          <w:i/>
          <w:iCs/>
          <w:snapToGrid w:val="0"/>
          <w:sz w:val="18"/>
          <w:szCs w:val="18"/>
        </w:rPr>
      </w:pPr>
      <w:r w:rsidRPr="008B3BFA">
        <w:rPr>
          <w:rFonts w:ascii="Arial" w:hAnsi="Arial" w:cs="Arial"/>
          <w:i/>
          <w:iCs/>
          <w:snapToGrid w:val="0"/>
          <w:sz w:val="18"/>
          <w:szCs w:val="18"/>
        </w:rPr>
        <w:t>Euro/000</w:t>
      </w:r>
    </w:p>
    <w:p w14:paraId="61C433DB" w14:textId="1A461440" w:rsidR="000B6812" w:rsidRDefault="00CE6109" w:rsidP="005E6F2C">
      <w:pPr>
        <w:pStyle w:val="Intestazione"/>
        <w:spacing w:before="120" w:after="120"/>
        <w:jc w:val="both"/>
        <w:rPr>
          <w:rFonts w:ascii="Arial" w:hAnsi="Arial" w:cs="Arial"/>
          <w:snapToGrid w:val="0"/>
        </w:rPr>
      </w:pPr>
      <w:r>
        <w:rPr>
          <w:noProof/>
        </w:rPr>
        <w:drawing>
          <wp:inline distT="0" distB="0" distL="0" distR="0" wp14:anchorId="5BA9494C" wp14:editId="7D03EA72">
            <wp:extent cx="5400675" cy="11525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1152525"/>
                    </a:xfrm>
                    <a:prstGeom prst="rect">
                      <a:avLst/>
                    </a:prstGeom>
                    <a:noFill/>
                    <a:ln>
                      <a:noFill/>
                    </a:ln>
                  </pic:spPr>
                </pic:pic>
              </a:graphicData>
            </a:graphic>
          </wp:inline>
        </w:drawing>
      </w:r>
    </w:p>
    <w:p w14:paraId="3F0648F4" w14:textId="77777777" w:rsidR="00FA68F4" w:rsidRDefault="00FA68F4" w:rsidP="005E6F2C">
      <w:pPr>
        <w:pStyle w:val="Intestazione"/>
        <w:spacing w:before="120" w:after="120"/>
        <w:jc w:val="both"/>
        <w:rPr>
          <w:rFonts w:ascii="Arial" w:hAnsi="Arial" w:cs="Arial"/>
          <w:snapToGrid w:val="0"/>
        </w:rPr>
      </w:pPr>
    </w:p>
    <w:p w14:paraId="6F297DCC" w14:textId="7A46EBCE" w:rsidR="00A27106" w:rsidRDefault="00A27106" w:rsidP="005E6F2C">
      <w:pPr>
        <w:pStyle w:val="Intestazione"/>
        <w:spacing w:before="120" w:after="120"/>
        <w:jc w:val="both"/>
        <w:rPr>
          <w:rFonts w:ascii="Arial" w:hAnsi="Arial" w:cs="Arial"/>
          <w:snapToGrid w:val="0"/>
        </w:rPr>
      </w:pPr>
      <w:r>
        <w:rPr>
          <w:rFonts w:ascii="Arial" w:hAnsi="Arial" w:cs="Arial"/>
          <w:snapToGrid w:val="0"/>
        </w:rPr>
        <w:t>Di seguito il prospetto di movimentazione del patrimonio netto consolidato:</w:t>
      </w:r>
    </w:p>
    <w:p w14:paraId="0DD13114" w14:textId="5A45106E" w:rsidR="00D65236" w:rsidRPr="008B3BFA" w:rsidRDefault="00D65236" w:rsidP="005E6F2C">
      <w:pPr>
        <w:pStyle w:val="Intestazione"/>
        <w:spacing w:before="120" w:after="120"/>
        <w:jc w:val="both"/>
        <w:rPr>
          <w:rFonts w:ascii="Arial" w:hAnsi="Arial" w:cs="Arial"/>
          <w:i/>
          <w:iCs/>
          <w:snapToGrid w:val="0"/>
          <w:sz w:val="16"/>
          <w:szCs w:val="16"/>
        </w:rPr>
      </w:pPr>
      <w:r w:rsidRPr="008B3BFA">
        <w:rPr>
          <w:rFonts w:ascii="Arial" w:hAnsi="Arial" w:cs="Arial"/>
          <w:i/>
          <w:iCs/>
          <w:snapToGrid w:val="0"/>
          <w:sz w:val="18"/>
          <w:szCs w:val="18"/>
        </w:rPr>
        <w:t>Euro/000</w:t>
      </w:r>
    </w:p>
    <w:p w14:paraId="25CBEE0D" w14:textId="376B77F3" w:rsidR="00CE1D56" w:rsidRDefault="00CE6109" w:rsidP="005E6F2C">
      <w:pPr>
        <w:pStyle w:val="Intestazione"/>
        <w:spacing w:before="120" w:after="120"/>
        <w:jc w:val="both"/>
        <w:rPr>
          <w:rFonts w:ascii="Arial" w:hAnsi="Arial" w:cs="Arial"/>
          <w:snapToGrid w:val="0"/>
        </w:rPr>
      </w:pPr>
      <w:r>
        <w:rPr>
          <w:noProof/>
        </w:rPr>
        <w:drawing>
          <wp:inline distT="0" distB="0" distL="0" distR="0" wp14:anchorId="086DBE08" wp14:editId="65137B3B">
            <wp:extent cx="5381625" cy="21145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2114550"/>
                    </a:xfrm>
                    <a:prstGeom prst="rect">
                      <a:avLst/>
                    </a:prstGeom>
                    <a:noFill/>
                    <a:ln>
                      <a:noFill/>
                    </a:ln>
                  </pic:spPr>
                </pic:pic>
              </a:graphicData>
            </a:graphic>
          </wp:inline>
        </w:drawing>
      </w:r>
    </w:p>
    <w:p w14:paraId="1B7834C7" w14:textId="77777777" w:rsidR="00B24813" w:rsidRDefault="00B24813" w:rsidP="005E6F2C">
      <w:pPr>
        <w:pStyle w:val="Intestazione"/>
        <w:spacing w:before="120" w:after="120"/>
        <w:jc w:val="both"/>
        <w:rPr>
          <w:rFonts w:ascii="Arial" w:hAnsi="Arial" w:cs="Arial"/>
        </w:rPr>
      </w:pPr>
      <w:r w:rsidRPr="003002ED">
        <w:rPr>
          <w:rFonts w:ascii="Arial" w:hAnsi="Arial" w:cs="Arial"/>
          <w:snapToGrid w:val="0"/>
        </w:rPr>
        <w:t>Il capitale sociale è suddiviso in quote ed è interamente</w:t>
      </w:r>
      <w:r w:rsidRPr="003002ED">
        <w:rPr>
          <w:rFonts w:ascii="Arial" w:hAnsi="Arial" w:cs="Arial"/>
        </w:rPr>
        <w:t xml:space="preserve"> sottoscritto e versato nell’ammontare e nelle percentuali di seguito evidenziate:</w:t>
      </w:r>
    </w:p>
    <w:p w14:paraId="6D8D77C7" w14:textId="31C349A9" w:rsidR="00766657" w:rsidRDefault="00CE6109" w:rsidP="005E6F2C">
      <w:pPr>
        <w:pStyle w:val="Intestazione"/>
        <w:spacing w:before="120" w:after="120"/>
        <w:jc w:val="both"/>
        <w:rPr>
          <w:rFonts w:ascii="Arial" w:hAnsi="Arial" w:cs="Arial"/>
        </w:rPr>
      </w:pPr>
      <w:r>
        <w:rPr>
          <w:noProof/>
        </w:rPr>
        <w:lastRenderedPageBreak/>
        <w:drawing>
          <wp:inline distT="0" distB="0" distL="0" distR="0" wp14:anchorId="751FEF14" wp14:editId="17299845">
            <wp:extent cx="5400675" cy="5334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p w14:paraId="6739040D" w14:textId="43CCABB6" w:rsidR="00B24813" w:rsidRPr="00675FF4" w:rsidRDefault="00B24813" w:rsidP="0093358C">
      <w:pPr>
        <w:pStyle w:val="Intestazione"/>
        <w:spacing w:before="120" w:after="120"/>
        <w:jc w:val="both"/>
        <w:rPr>
          <w:rFonts w:ascii="Arial" w:hAnsi="Arial" w:cs="Arial"/>
        </w:rPr>
      </w:pPr>
      <w:r w:rsidRPr="00675FF4">
        <w:rPr>
          <w:rFonts w:ascii="Arial" w:hAnsi="Arial" w:cs="Arial"/>
        </w:rPr>
        <w:t xml:space="preserve">Si evidenzia che in sede di primo </w:t>
      </w:r>
      <w:r w:rsidR="00D84B71" w:rsidRPr="00675FF4">
        <w:rPr>
          <w:rFonts w:ascii="Arial" w:hAnsi="Arial" w:cs="Arial"/>
        </w:rPr>
        <w:t>consolidamento all’atto</w:t>
      </w:r>
      <w:r w:rsidRPr="00675FF4">
        <w:rPr>
          <w:rFonts w:ascii="Arial" w:hAnsi="Arial" w:cs="Arial"/>
        </w:rPr>
        <w:t xml:space="preserve"> dell’eliminazione del valore della partecipazione in contropartita della corrispondente quota del patrimonio netto si è determinata una differenza negativa da annullamento pari a circa </w:t>
      </w:r>
      <w:r w:rsidR="00D84B71" w:rsidRPr="00675FF4">
        <w:rPr>
          <w:rFonts w:ascii="Arial" w:hAnsi="Arial" w:cs="Arial"/>
        </w:rPr>
        <w:t>euro</w:t>
      </w:r>
      <w:r w:rsidRPr="00675FF4">
        <w:rPr>
          <w:rFonts w:ascii="Arial" w:hAnsi="Arial" w:cs="Arial"/>
        </w:rPr>
        <w:t xml:space="preserve"> </w:t>
      </w:r>
      <w:r w:rsidR="0093358C">
        <w:rPr>
          <w:rFonts w:ascii="Arial" w:hAnsi="Arial" w:cs="Arial"/>
        </w:rPr>
        <w:t xml:space="preserve">19.353 </w:t>
      </w:r>
      <w:r w:rsidRPr="00675FF4">
        <w:rPr>
          <w:rFonts w:ascii="Arial" w:hAnsi="Arial" w:cs="Arial"/>
        </w:rPr>
        <w:t>mila</w:t>
      </w:r>
      <w:r w:rsidR="0093358C">
        <w:rPr>
          <w:rFonts w:ascii="Arial" w:hAnsi="Arial" w:cs="Arial"/>
        </w:rPr>
        <w:t xml:space="preserve"> rilevata nella voce Riserva da consolidamento</w:t>
      </w:r>
      <w:r w:rsidRPr="00675FF4">
        <w:rPr>
          <w:rFonts w:ascii="Arial" w:hAnsi="Arial" w:cs="Arial"/>
        </w:rPr>
        <w:t xml:space="preserve">. </w:t>
      </w:r>
    </w:p>
    <w:p w14:paraId="115D632F" w14:textId="77777777" w:rsidR="00E85969" w:rsidRPr="004C06E8" w:rsidRDefault="00E85969" w:rsidP="00E85969">
      <w:pPr>
        <w:keepNext/>
        <w:keepLines/>
        <w:spacing w:before="280" w:after="120" w:line="220" w:lineRule="atLeast"/>
        <w:jc w:val="both"/>
        <w:outlineLvl w:val="2"/>
        <w:rPr>
          <w:rFonts w:ascii="Arial" w:hAnsi="Arial" w:cs="Arial"/>
          <w:spacing w:val="-4"/>
          <w:kern w:val="28"/>
          <w:sz w:val="20"/>
          <w:szCs w:val="20"/>
          <w:u w:val="single"/>
          <w:lang w:eastAsia="en-US"/>
        </w:rPr>
      </w:pPr>
      <w:r w:rsidRPr="004C06E8">
        <w:rPr>
          <w:rFonts w:ascii="Arial" w:hAnsi="Arial" w:cs="Arial"/>
          <w:spacing w:val="-4"/>
          <w:kern w:val="28"/>
          <w:sz w:val="20"/>
          <w:szCs w:val="20"/>
          <w:u w:val="single"/>
          <w:lang w:eastAsia="en-US"/>
        </w:rPr>
        <w:t>Disponibilità e utilizzo del patrimonio netto</w:t>
      </w:r>
    </w:p>
    <w:p w14:paraId="46B2AA3C" w14:textId="77777777" w:rsidR="00E85969" w:rsidRPr="00E85969" w:rsidRDefault="00E85969" w:rsidP="00E85969">
      <w:pPr>
        <w:spacing w:before="80" w:after="40" w:line="220" w:lineRule="atLeast"/>
        <w:jc w:val="both"/>
        <w:rPr>
          <w:rFonts w:ascii="Arial" w:hAnsi="Arial" w:cs="Arial"/>
          <w:sz w:val="20"/>
          <w:szCs w:val="20"/>
          <w:lang w:eastAsia="en-US"/>
        </w:rPr>
      </w:pPr>
      <w:r w:rsidRPr="00E85969">
        <w:rPr>
          <w:rFonts w:ascii="Arial" w:hAnsi="Arial" w:cs="Arial"/>
          <w:sz w:val="20"/>
          <w:szCs w:val="20"/>
          <w:lang w:eastAsia="en-US"/>
        </w:rPr>
        <w:t>Nei seguenti prospetti sono analiticamente indicate le voci di patrimonio netto, con specificazione della loro origine, possibilità di utilizzazione e distribuibilità.</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127"/>
        <w:gridCol w:w="2126"/>
        <w:gridCol w:w="2126"/>
        <w:gridCol w:w="2126"/>
      </w:tblGrid>
      <w:tr w:rsidR="00E85969" w:rsidRPr="00E85969" w14:paraId="0CA8FD8B" w14:textId="77777777" w:rsidTr="00B74C3B">
        <w:trPr>
          <w:tblHeader/>
        </w:trPr>
        <w:tc>
          <w:tcPr>
            <w:tcW w:w="1250" w:type="pct"/>
            <w:tcBorders>
              <w:top w:val="single" w:sz="12" w:space="0" w:color="000000"/>
              <w:bottom w:val="single" w:sz="12" w:space="0" w:color="000000"/>
            </w:tcBorders>
            <w:shd w:val="clear" w:color="auto" w:fill="D1D1D1"/>
            <w:vAlign w:val="center"/>
          </w:tcPr>
          <w:p w14:paraId="4F39A76C" w14:textId="77777777" w:rsidR="00E85969" w:rsidRPr="00E85969" w:rsidRDefault="00E85969" w:rsidP="00E85969">
            <w:pPr>
              <w:spacing w:before="40" w:after="40"/>
              <w:jc w:val="center"/>
              <w:rPr>
                <w:rFonts w:ascii="Arial" w:hAnsi="Arial" w:cs="Arial"/>
                <w:b/>
                <w:noProof/>
                <w:sz w:val="20"/>
                <w:szCs w:val="20"/>
                <w:lang w:eastAsia="en-US"/>
              </w:rPr>
            </w:pPr>
            <w:r w:rsidRPr="00E85969">
              <w:rPr>
                <w:rFonts w:ascii="Arial" w:hAnsi="Arial" w:cs="Arial"/>
                <w:b/>
                <w:noProof/>
                <w:sz w:val="20"/>
                <w:szCs w:val="20"/>
                <w:lang w:eastAsia="en-US"/>
              </w:rPr>
              <w:t>Descrizione</w:t>
            </w:r>
          </w:p>
        </w:tc>
        <w:tc>
          <w:tcPr>
            <w:tcW w:w="1250" w:type="pct"/>
            <w:tcBorders>
              <w:top w:val="single" w:sz="12" w:space="0" w:color="000000"/>
              <w:bottom w:val="single" w:sz="12" w:space="0" w:color="000000"/>
            </w:tcBorders>
            <w:shd w:val="clear" w:color="auto" w:fill="D1D1D1"/>
            <w:vAlign w:val="center"/>
          </w:tcPr>
          <w:p w14:paraId="71D8BC17" w14:textId="77777777" w:rsidR="00E85969" w:rsidRPr="00E85969" w:rsidRDefault="00E85969" w:rsidP="00E85969">
            <w:pPr>
              <w:spacing w:before="40" w:after="40"/>
              <w:jc w:val="center"/>
              <w:rPr>
                <w:rFonts w:ascii="Arial" w:hAnsi="Arial" w:cs="Arial"/>
                <w:b/>
                <w:noProof/>
                <w:sz w:val="20"/>
                <w:szCs w:val="20"/>
                <w:lang w:eastAsia="en-US"/>
              </w:rPr>
            </w:pPr>
            <w:r w:rsidRPr="00E85969">
              <w:rPr>
                <w:rFonts w:ascii="Arial" w:hAnsi="Arial" w:cs="Arial"/>
                <w:b/>
                <w:noProof/>
                <w:sz w:val="20"/>
                <w:szCs w:val="20"/>
                <w:lang w:eastAsia="en-US"/>
              </w:rPr>
              <w:t>Importo</w:t>
            </w:r>
          </w:p>
        </w:tc>
        <w:tc>
          <w:tcPr>
            <w:tcW w:w="1250" w:type="pct"/>
            <w:tcBorders>
              <w:top w:val="single" w:sz="12" w:space="0" w:color="000000"/>
              <w:bottom w:val="single" w:sz="12" w:space="0" w:color="000000"/>
            </w:tcBorders>
            <w:shd w:val="clear" w:color="auto" w:fill="D1D1D1"/>
            <w:vAlign w:val="center"/>
          </w:tcPr>
          <w:p w14:paraId="22B4A0BD" w14:textId="77777777" w:rsidR="00E85969" w:rsidRPr="00E85969" w:rsidRDefault="00E85969" w:rsidP="00E85969">
            <w:pPr>
              <w:spacing w:before="40" w:after="40"/>
              <w:jc w:val="center"/>
              <w:rPr>
                <w:rFonts w:ascii="Arial" w:hAnsi="Arial" w:cs="Arial"/>
                <w:b/>
                <w:noProof/>
                <w:sz w:val="20"/>
                <w:szCs w:val="20"/>
                <w:lang w:eastAsia="en-US"/>
              </w:rPr>
            </w:pPr>
            <w:r w:rsidRPr="00E85969">
              <w:rPr>
                <w:rFonts w:ascii="Arial" w:hAnsi="Arial" w:cs="Arial"/>
                <w:b/>
                <w:noProof/>
                <w:sz w:val="20"/>
                <w:szCs w:val="20"/>
                <w:lang w:eastAsia="en-US"/>
              </w:rPr>
              <w:t>Origine/Natura</w:t>
            </w:r>
          </w:p>
        </w:tc>
        <w:tc>
          <w:tcPr>
            <w:tcW w:w="1250" w:type="pct"/>
            <w:tcBorders>
              <w:top w:val="single" w:sz="12" w:space="0" w:color="000000"/>
              <w:bottom w:val="single" w:sz="12" w:space="0" w:color="000000"/>
            </w:tcBorders>
            <w:shd w:val="clear" w:color="auto" w:fill="D1D1D1"/>
            <w:vAlign w:val="center"/>
          </w:tcPr>
          <w:p w14:paraId="0687392C" w14:textId="77777777" w:rsidR="00E85969" w:rsidRPr="00E85969" w:rsidRDefault="00E85969" w:rsidP="00E85969">
            <w:pPr>
              <w:spacing w:before="40" w:after="40"/>
              <w:jc w:val="center"/>
              <w:rPr>
                <w:rFonts w:ascii="Arial" w:hAnsi="Arial" w:cs="Arial"/>
                <w:b/>
                <w:noProof/>
                <w:sz w:val="20"/>
                <w:szCs w:val="20"/>
                <w:lang w:eastAsia="en-US"/>
              </w:rPr>
            </w:pPr>
            <w:r w:rsidRPr="00E85969">
              <w:rPr>
                <w:rFonts w:ascii="Arial" w:hAnsi="Arial" w:cs="Arial"/>
                <w:b/>
                <w:noProof/>
                <w:sz w:val="20"/>
                <w:szCs w:val="20"/>
                <w:lang w:eastAsia="en-US"/>
              </w:rPr>
              <w:t>Possibilità di utilizzazione</w:t>
            </w:r>
          </w:p>
        </w:tc>
      </w:tr>
      <w:tr w:rsidR="00E85969" w:rsidRPr="00E85969" w14:paraId="70C7D8E5" w14:textId="77777777" w:rsidTr="00B74C3B">
        <w:tc>
          <w:tcPr>
            <w:tcW w:w="1250" w:type="pct"/>
            <w:tcBorders>
              <w:top w:val="single" w:sz="12" w:space="0" w:color="000000"/>
              <w:bottom w:val="single" w:sz="6" w:space="0" w:color="000000"/>
            </w:tcBorders>
            <w:shd w:val="clear" w:color="auto" w:fill="FFFFFF"/>
            <w:vAlign w:val="center"/>
          </w:tcPr>
          <w:p w14:paraId="4A136595" w14:textId="77777777" w:rsidR="00E85969" w:rsidRPr="00E85969" w:rsidRDefault="00E85969" w:rsidP="00E85969">
            <w:pPr>
              <w:spacing w:before="40" w:after="40"/>
              <w:rPr>
                <w:rFonts w:ascii="Arial" w:hAnsi="Arial" w:cs="Arial"/>
                <w:noProof/>
                <w:sz w:val="20"/>
                <w:szCs w:val="20"/>
                <w:lang w:eastAsia="en-US"/>
              </w:rPr>
            </w:pPr>
            <w:r w:rsidRPr="00E85969">
              <w:rPr>
                <w:rFonts w:ascii="Arial" w:hAnsi="Arial" w:cs="Arial"/>
                <w:noProof/>
                <w:sz w:val="20"/>
                <w:szCs w:val="20"/>
                <w:lang w:eastAsia="en-US"/>
              </w:rPr>
              <w:t>Capitale</w:t>
            </w:r>
          </w:p>
        </w:tc>
        <w:tc>
          <w:tcPr>
            <w:tcW w:w="1250" w:type="pct"/>
            <w:tcBorders>
              <w:top w:val="single" w:sz="12" w:space="0" w:color="000000"/>
              <w:bottom w:val="single" w:sz="6" w:space="0" w:color="000000"/>
            </w:tcBorders>
            <w:shd w:val="clear" w:color="auto" w:fill="FFFFFF"/>
            <w:vAlign w:val="center"/>
          </w:tcPr>
          <w:p w14:paraId="652CE5C9" w14:textId="77777777" w:rsidR="00E85969" w:rsidRPr="00E85969" w:rsidRDefault="00766657" w:rsidP="00E85969">
            <w:pPr>
              <w:spacing w:before="40" w:after="40"/>
              <w:jc w:val="right"/>
              <w:rPr>
                <w:rFonts w:ascii="Arial" w:hAnsi="Arial" w:cs="Arial"/>
                <w:noProof/>
                <w:sz w:val="20"/>
                <w:szCs w:val="20"/>
                <w:lang w:eastAsia="en-US"/>
              </w:rPr>
            </w:pPr>
            <w:r>
              <w:rPr>
                <w:rFonts w:ascii="Arial" w:hAnsi="Arial" w:cs="Arial"/>
                <w:noProof/>
                <w:sz w:val="20"/>
                <w:szCs w:val="20"/>
                <w:lang w:eastAsia="en-US"/>
              </w:rPr>
              <w:t>15.262.735</w:t>
            </w:r>
          </w:p>
        </w:tc>
        <w:tc>
          <w:tcPr>
            <w:tcW w:w="1250" w:type="pct"/>
            <w:tcBorders>
              <w:top w:val="single" w:sz="12" w:space="0" w:color="000000"/>
              <w:bottom w:val="single" w:sz="6" w:space="0" w:color="000000"/>
            </w:tcBorders>
            <w:shd w:val="clear" w:color="auto" w:fill="FFFFFF"/>
            <w:vAlign w:val="center"/>
          </w:tcPr>
          <w:p w14:paraId="06783600" w14:textId="77777777" w:rsidR="00E85969" w:rsidRPr="00E85969" w:rsidRDefault="00E85969" w:rsidP="00E85969">
            <w:pPr>
              <w:spacing w:before="40" w:after="40"/>
              <w:rPr>
                <w:rFonts w:ascii="Arial" w:hAnsi="Arial" w:cs="Arial"/>
                <w:noProof/>
                <w:sz w:val="20"/>
                <w:szCs w:val="20"/>
                <w:lang w:eastAsia="en-US"/>
              </w:rPr>
            </w:pPr>
            <w:r w:rsidRPr="00E85969">
              <w:rPr>
                <w:rFonts w:ascii="Arial" w:hAnsi="Arial" w:cs="Arial"/>
                <w:noProof/>
                <w:sz w:val="20"/>
                <w:szCs w:val="20"/>
                <w:lang w:eastAsia="en-US"/>
              </w:rPr>
              <w:t>Capitale</w:t>
            </w:r>
          </w:p>
        </w:tc>
        <w:tc>
          <w:tcPr>
            <w:tcW w:w="1250" w:type="pct"/>
            <w:tcBorders>
              <w:top w:val="single" w:sz="12" w:space="0" w:color="000000"/>
              <w:bottom w:val="single" w:sz="6" w:space="0" w:color="000000"/>
            </w:tcBorders>
            <w:shd w:val="clear" w:color="auto" w:fill="FFFFFF"/>
            <w:vAlign w:val="center"/>
          </w:tcPr>
          <w:p w14:paraId="4CBC59A4" w14:textId="77777777" w:rsidR="00E85969" w:rsidRPr="00E85969" w:rsidRDefault="00E85969" w:rsidP="00E85969">
            <w:pPr>
              <w:spacing w:before="40" w:after="40"/>
              <w:rPr>
                <w:rFonts w:ascii="Arial" w:hAnsi="Arial" w:cs="Arial"/>
                <w:noProof/>
                <w:sz w:val="20"/>
                <w:szCs w:val="20"/>
                <w:lang w:eastAsia="en-US"/>
              </w:rPr>
            </w:pPr>
          </w:p>
        </w:tc>
      </w:tr>
      <w:tr w:rsidR="00EF46E0" w:rsidRPr="00E85969" w14:paraId="273A8E67" w14:textId="77777777" w:rsidTr="00B74C3B">
        <w:tc>
          <w:tcPr>
            <w:tcW w:w="1250" w:type="pct"/>
            <w:tcBorders>
              <w:top w:val="single" w:sz="6" w:space="0" w:color="000000"/>
              <w:bottom w:val="single" w:sz="6" w:space="0" w:color="000000"/>
            </w:tcBorders>
            <w:shd w:val="clear" w:color="auto" w:fill="FFFFFF"/>
            <w:vAlign w:val="center"/>
          </w:tcPr>
          <w:p w14:paraId="3DD8ADBF" w14:textId="77777777" w:rsidR="00EF46E0" w:rsidRPr="00E85969" w:rsidRDefault="00EF46E0" w:rsidP="00B74C3B">
            <w:pPr>
              <w:spacing w:before="40" w:after="40"/>
              <w:rPr>
                <w:rFonts w:ascii="Arial" w:hAnsi="Arial" w:cs="Arial"/>
                <w:noProof/>
                <w:sz w:val="20"/>
                <w:szCs w:val="20"/>
                <w:lang w:eastAsia="en-US"/>
              </w:rPr>
            </w:pPr>
            <w:r w:rsidRPr="00E85969">
              <w:rPr>
                <w:rFonts w:ascii="Arial" w:hAnsi="Arial" w:cs="Arial"/>
                <w:noProof/>
                <w:sz w:val="20"/>
                <w:szCs w:val="20"/>
                <w:lang w:eastAsia="en-US"/>
              </w:rPr>
              <w:t>Varie altre riserve</w:t>
            </w:r>
          </w:p>
        </w:tc>
        <w:tc>
          <w:tcPr>
            <w:tcW w:w="1250" w:type="pct"/>
            <w:tcBorders>
              <w:top w:val="single" w:sz="6" w:space="0" w:color="000000"/>
              <w:bottom w:val="single" w:sz="6" w:space="0" w:color="000000"/>
            </w:tcBorders>
            <w:shd w:val="clear" w:color="auto" w:fill="FFFFFF"/>
            <w:vAlign w:val="center"/>
          </w:tcPr>
          <w:p w14:paraId="3C8E493C" w14:textId="77777777" w:rsidR="00EF46E0" w:rsidRPr="00E85969" w:rsidRDefault="00766657" w:rsidP="000149EB">
            <w:pPr>
              <w:spacing w:before="40" w:after="40"/>
              <w:jc w:val="right"/>
              <w:rPr>
                <w:rFonts w:ascii="Arial" w:hAnsi="Arial" w:cs="Arial"/>
                <w:noProof/>
                <w:sz w:val="20"/>
                <w:szCs w:val="20"/>
                <w:lang w:eastAsia="en-US"/>
              </w:rPr>
            </w:pPr>
            <w:r>
              <w:rPr>
                <w:rFonts w:ascii="Arial" w:hAnsi="Arial" w:cs="Arial"/>
                <w:noProof/>
                <w:sz w:val="20"/>
                <w:szCs w:val="20"/>
                <w:lang w:eastAsia="en-US"/>
              </w:rPr>
              <w:t>19.352.618</w:t>
            </w:r>
          </w:p>
        </w:tc>
        <w:tc>
          <w:tcPr>
            <w:tcW w:w="1250" w:type="pct"/>
            <w:tcBorders>
              <w:top w:val="single" w:sz="6" w:space="0" w:color="000000"/>
              <w:bottom w:val="single" w:sz="6" w:space="0" w:color="000000"/>
            </w:tcBorders>
            <w:shd w:val="clear" w:color="auto" w:fill="FFFFFF"/>
            <w:vAlign w:val="center"/>
          </w:tcPr>
          <w:p w14:paraId="399C5C43" w14:textId="77777777" w:rsidR="00EF46E0" w:rsidRPr="00E85969" w:rsidRDefault="00EF46E0" w:rsidP="00EF46E0">
            <w:pPr>
              <w:spacing w:before="40" w:after="40"/>
              <w:rPr>
                <w:rFonts w:ascii="Arial" w:hAnsi="Arial" w:cs="Arial"/>
                <w:noProof/>
                <w:sz w:val="20"/>
                <w:szCs w:val="20"/>
                <w:lang w:eastAsia="en-US"/>
              </w:rPr>
            </w:pPr>
            <w:r w:rsidRPr="00E85969">
              <w:rPr>
                <w:rFonts w:ascii="Arial" w:hAnsi="Arial" w:cs="Arial"/>
                <w:noProof/>
                <w:sz w:val="20"/>
                <w:szCs w:val="20"/>
                <w:lang w:eastAsia="en-US"/>
              </w:rPr>
              <w:t>Capitale</w:t>
            </w:r>
            <w:r>
              <w:rPr>
                <w:rFonts w:ascii="Arial" w:hAnsi="Arial" w:cs="Arial"/>
                <w:noProof/>
                <w:sz w:val="20"/>
                <w:szCs w:val="20"/>
                <w:lang w:eastAsia="en-US"/>
              </w:rPr>
              <w:t>/Utile</w:t>
            </w:r>
          </w:p>
        </w:tc>
        <w:tc>
          <w:tcPr>
            <w:tcW w:w="1250" w:type="pct"/>
            <w:tcBorders>
              <w:top w:val="single" w:sz="6" w:space="0" w:color="000000"/>
              <w:bottom w:val="single" w:sz="6" w:space="0" w:color="000000"/>
            </w:tcBorders>
            <w:shd w:val="clear" w:color="auto" w:fill="FFFFFF"/>
            <w:vAlign w:val="center"/>
          </w:tcPr>
          <w:p w14:paraId="3E8C4B89" w14:textId="77777777" w:rsidR="00EF46E0" w:rsidRPr="00E85969" w:rsidRDefault="00EF46E0" w:rsidP="00E85969">
            <w:pPr>
              <w:spacing w:before="40" w:after="40"/>
              <w:rPr>
                <w:rFonts w:ascii="Arial" w:hAnsi="Arial" w:cs="Arial"/>
                <w:noProof/>
                <w:sz w:val="20"/>
                <w:szCs w:val="20"/>
                <w:lang w:eastAsia="en-US"/>
              </w:rPr>
            </w:pPr>
            <w:r w:rsidRPr="00E85969">
              <w:rPr>
                <w:rFonts w:ascii="Arial" w:hAnsi="Arial" w:cs="Arial"/>
                <w:noProof/>
                <w:sz w:val="20"/>
                <w:szCs w:val="20"/>
                <w:lang w:eastAsia="en-US"/>
              </w:rPr>
              <w:t>A;B</w:t>
            </w:r>
          </w:p>
        </w:tc>
      </w:tr>
      <w:tr w:rsidR="00EF46E0" w:rsidRPr="00E85969" w14:paraId="498BB329" w14:textId="77777777" w:rsidTr="00B74C3B">
        <w:tc>
          <w:tcPr>
            <w:tcW w:w="1250" w:type="pct"/>
            <w:tcBorders>
              <w:top w:val="single" w:sz="6" w:space="0" w:color="000000"/>
              <w:bottom w:val="single" w:sz="6" w:space="0" w:color="000000"/>
            </w:tcBorders>
            <w:shd w:val="clear" w:color="auto" w:fill="FFFFFF"/>
            <w:vAlign w:val="center"/>
          </w:tcPr>
          <w:p w14:paraId="0C75D1C6" w14:textId="77777777" w:rsidR="00EF46E0" w:rsidRPr="00E85969" w:rsidRDefault="00EF46E0" w:rsidP="00B74C3B">
            <w:pPr>
              <w:spacing w:before="40" w:after="40"/>
              <w:rPr>
                <w:rFonts w:ascii="Arial" w:hAnsi="Arial" w:cs="Arial"/>
                <w:noProof/>
                <w:sz w:val="20"/>
                <w:szCs w:val="20"/>
                <w:lang w:eastAsia="en-US"/>
              </w:rPr>
            </w:pPr>
            <w:r w:rsidRPr="00E85969">
              <w:rPr>
                <w:rFonts w:ascii="Arial" w:hAnsi="Arial" w:cs="Arial"/>
                <w:noProof/>
                <w:sz w:val="20"/>
                <w:szCs w:val="20"/>
                <w:lang w:eastAsia="en-US"/>
              </w:rPr>
              <w:t>Totale altre riserve</w:t>
            </w:r>
          </w:p>
        </w:tc>
        <w:tc>
          <w:tcPr>
            <w:tcW w:w="1250" w:type="pct"/>
            <w:tcBorders>
              <w:top w:val="single" w:sz="6" w:space="0" w:color="000000"/>
              <w:bottom w:val="single" w:sz="6" w:space="0" w:color="000000"/>
            </w:tcBorders>
            <w:shd w:val="clear" w:color="auto" w:fill="FFFFFF"/>
            <w:vAlign w:val="center"/>
          </w:tcPr>
          <w:p w14:paraId="1EFD4FEE" w14:textId="77777777" w:rsidR="00EF46E0" w:rsidRPr="00E85969" w:rsidRDefault="00766657" w:rsidP="00766657">
            <w:pPr>
              <w:spacing w:before="40" w:after="40"/>
              <w:jc w:val="right"/>
              <w:rPr>
                <w:rFonts w:ascii="Arial" w:hAnsi="Arial" w:cs="Arial"/>
                <w:noProof/>
                <w:sz w:val="20"/>
                <w:szCs w:val="20"/>
                <w:lang w:eastAsia="en-US"/>
              </w:rPr>
            </w:pPr>
            <w:r>
              <w:rPr>
                <w:rFonts w:ascii="Arial" w:hAnsi="Arial" w:cs="Arial"/>
                <w:noProof/>
                <w:sz w:val="20"/>
                <w:szCs w:val="20"/>
                <w:lang w:eastAsia="en-US"/>
              </w:rPr>
              <w:t>19.352</w:t>
            </w:r>
            <w:r w:rsidR="00EF46E0">
              <w:rPr>
                <w:rFonts w:ascii="Arial" w:hAnsi="Arial" w:cs="Arial"/>
                <w:noProof/>
                <w:sz w:val="20"/>
                <w:szCs w:val="20"/>
                <w:lang w:eastAsia="en-US"/>
              </w:rPr>
              <w:t>.</w:t>
            </w:r>
            <w:r>
              <w:rPr>
                <w:rFonts w:ascii="Arial" w:hAnsi="Arial" w:cs="Arial"/>
                <w:noProof/>
                <w:sz w:val="20"/>
                <w:szCs w:val="20"/>
                <w:lang w:eastAsia="en-US"/>
              </w:rPr>
              <w:t>618</w:t>
            </w:r>
          </w:p>
        </w:tc>
        <w:tc>
          <w:tcPr>
            <w:tcW w:w="1250" w:type="pct"/>
            <w:tcBorders>
              <w:top w:val="single" w:sz="6" w:space="0" w:color="000000"/>
              <w:bottom w:val="single" w:sz="6" w:space="0" w:color="000000"/>
            </w:tcBorders>
            <w:shd w:val="clear" w:color="auto" w:fill="FFFFFF"/>
            <w:vAlign w:val="center"/>
          </w:tcPr>
          <w:p w14:paraId="76F01D5F" w14:textId="77777777" w:rsidR="00EF46E0" w:rsidRPr="00E85969" w:rsidRDefault="00EF46E0" w:rsidP="00B74C3B">
            <w:pPr>
              <w:spacing w:before="40" w:after="40"/>
              <w:rPr>
                <w:rFonts w:ascii="Arial" w:hAnsi="Arial" w:cs="Arial"/>
                <w:noProof/>
                <w:sz w:val="20"/>
                <w:szCs w:val="20"/>
                <w:lang w:eastAsia="en-US"/>
              </w:rPr>
            </w:pPr>
          </w:p>
        </w:tc>
        <w:tc>
          <w:tcPr>
            <w:tcW w:w="1250" w:type="pct"/>
            <w:tcBorders>
              <w:top w:val="single" w:sz="6" w:space="0" w:color="000000"/>
              <w:bottom w:val="single" w:sz="6" w:space="0" w:color="000000"/>
            </w:tcBorders>
            <w:shd w:val="clear" w:color="auto" w:fill="FFFFFF"/>
            <w:vAlign w:val="center"/>
          </w:tcPr>
          <w:p w14:paraId="74A3C363" w14:textId="77777777" w:rsidR="00EF46E0" w:rsidRPr="00E85969" w:rsidRDefault="00EF46E0" w:rsidP="00E85969">
            <w:pPr>
              <w:spacing w:before="40" w:after="40"/>
              <w:rPr>
                <w:rFonts w:ascii="Arial" w:hAnsi="Arial" w:cs="Arial"/>
                <w:noProof/>
                <w:sz w:val="20"/>
                <w:szCs w:val="20"/>
                <w:lang w:eastAsia="en-US"/>
              </w:rPr>
            </w:pPr>
          </w:p>
        </w:tc>
      </w:tr>
      <w:tr w:rsidR="00EF46E0" w:rsidRPr="00E85969" w14:paraId="4BA699B2" w14:textId="77777777" w:rsidTr="00B74C3B">
        <w:tc>
          <w:tcPr>
            <w:tcW w:w="1250" w:type="pct"/>
            <w:tcBorders>
              <w:top w:val="single" w:sz="6" w:space="0" w:color="000000"/>
              <w:bottom w:val="single" w:sz="6" w:space="0" w:color="000000"/>
            </w:tcBorders>
            <w:shd w:val="clear" w:color="auto" w:fill="FFFFFF"/>
            <w:vAlign w:val="center"/>
          </w:tcPr>
          <w:p w14:paraId="0F651206" w14:textId="77777777" w:rsidR="00EF46E0" w:rsidRPr="00E85969" w:rsidRDefault="00EF46E0" w:rsidP="00B74C3B">
            <w:pPr>
              <w:spacing w:before="40" w:after="40"/>
              <w:rPr>
                <w:rFonts w:ascii="Arial" w:hAnsi="Arial" w:cs="Arial"/>
                <w:noProof/>
                <w:sz w:val="20"/>
                <w:szCs w:val="20"/>
                <w:lang w:eastAsia="en-US"/>
              </w:rPr>
            </w:pPr>
          </w:p>
        </w:tc>
        <w:tc>
          <w:tcPr>
            <w:tcW w:w="1250" w:type="pct"/>
            <w:tcBorders>
              <w:top w:val="single" w:sz="6" w:space="0" w:color="000000"/>
              <w:bottom w:val="single" w:sz="6" w:space="0" w:color="000000"/>
            </w:tcBorders>
            <w:shd w:val="clear" w:color="auto" w:fill="FFFFFF"/>
            <w:vAlign w:val="center"/>
          </w:tcPr>
          <w:p w14:paraId="337139C3" w14:textId="77777777" w:rsidR="00EF46E0" w:rsidRPr="00E85969" w:rsidRDefault="00EF46E0" w:rsidP="00B74C3B">
            <w:pPr>
              <w:spacing w:before="40" w:after="40"/>
              <w:jc w:val="right"/>
              <w:rPr>
                <w:rFonts w:ascii="Arial" w:hAnsi="Arial" w:cs="Arial"/>
                <w:noProof/>
                <w:sz w:val="20"/>
                <w:szCs w:val="20"/>
                <w:lang w:eastAsia="en-US"/>
              </w:rPr>
            </w:pPr>
          </w:p>
        </w:tc>
        <w:tc>
          <w:tcPr>
            <w:tcW w:w="1250" w:type="pct"/>
            <w:tcBorders>
              <w:top w:val="single" w:sz="6" w:space="0" w:color="000000"/>
              <w:bottom w:val="single" w:sz="6" w:space="0" w:color="000000"/>
            </w:tcBorders>
            <w:shd w:val="clear" w:color="auto" w:fill="FFFFFF"/>
            <w:vAlign w:val="center"/>
          </w:tcPr>
          <w:p w14:paraId="19C1AF8E" w14:textId="77777777" w:rsidR="00EF46E0" w:rsidRPr="00E85969" w:rsidRDefault="00EF46E0" w:rsidP="00B74C3B">
            <w:pPr>
              <w:spacing w:before="40" w:after="40"/>
              <w:rPr>
                <w:rFonts w:ascii="Arial" w:hAnsi="Arial" w:cs="Arial"/>
                <w:noProof/>
                <w:sz w:val="20"/>
                <w:szCs w:val="20"/>
                <w:lang w:eastAsia="en-US"/>
              </w:rPr>
            </w:pPr>
          </w:p>
        </w:tc>
        <w:tc>
          <w:tcPr>
            <w:tcW w:w="1250" w:type="pct"/>
            <w:tcBorders>
              <w:top w:val="single" w:sz="6" w:space="0" w:color="000000"/>
              <w:bottom w:val="single" w:sz="6" w:space="0" w:color="000000"/>
            </w:tcBorders>
            <w:shd w:val="clear" w:color="auto" w:fill="FFFFFF"/>
            <w:vAlign w:val="center"/>
          </w:tcPr>
          <w:p w14:paraId="36789987" w14:textId="77777777" w:rsidR="00EF46E0" w:rsidRPr="00E85969" w:rsidRDefault="00EF46E0" w:rsidP="00E85969">
            <w:pPr>
              <w:spacing w:before="40" w:after="40"/>
              <w:rPr>
                <w:rFonts w:ascii="Arial" w:hAnsi="Arial" w:cs="Arial"/>
                <w:noProof/>
                <w:sz w:val="20"/>
                <w:szCs w:val="20"/>
                <w:lang w:eastAsia="en-US"/>
              </w:rPr>
            </w:pPr>
          </w:p>
        </w:tc>
      </w:tr>
      <w:tr w:rsidR="00EF46E0" w:rsidRPr="00E85969" w14:paraId="0EBCBF71" w14:textId="77777777" w:rsidTr="00B74C3B">
        <w:tc>
          <w:tcPr>
            <w:tcW w:w="1250" w:type="pct"/>
            <w:tcBorders>
              <w:top w:val="single" w:sz="6" w:space="0" w:color="000000"/>
              <w:bottom w:val="single" w:sz="6" w:space="0" w:color="000000"/>
            </w:tcBorders>
            <w:shd w:val="clear" w:color="auto" w:fill="E2E2E2"/>
            <w:vAlign w:val="center"/>
          </w:tcPr>
          <w:p w14:paraId="516330B5" w14:textId="77777777" w:rsidR="00EF46E0" w:rsidRPr="00E85969" w:rsidRDefault="00EF46E0" w:rsidP="00E85969">
            <w:pPr>
              <w:spacing w:before="40" w:after="40"/>
              <w:rPr>
                <w:rFonts w:ascii="Arial" w:hAnsi="Arial" w:cs="Arial"/>
                <w:b/>
                <w:noProof/>
                <w:sz w:val="20"/>
                <w:szCs w:val="20"/>
                <w:lang w:eastAsia="en-US"/>
              </w:rPr>
            </w:pPr>
            <w:r w:rsidRPr="00E85969">
              <w:rPr>
                <w:rFonts w:ascii="Arial" w:hAnsi="Arial" w:cs="Arial"/>
                <w:b/>
                <w:noProof/>
                <w:sz w:val="20"/>
                <w:szCs w:val="20"/>
                <w:lang w:eastAsia="en-US"/>
              </w:rPr>
              <w:t>Totale</w:t>
            </w:r>
          </w:p>
        </w:tc>
        <w:tc>
          <w:tcPr>
            <w:tcW w:w="1250" w:type="pct"/>
            <w:tcBorders>
              <w:top w:val="single" w:sz="6" w:space="0" w:color="000000"/>
              <w:bottom w:val="single" w:sz="6" w:space="0" w:color="000000"/>
            </w:tcBorders>
            <w:shd w:val="clear" w:color="auto" w:fill="E2E2E2"/>
            <w:vAlign w:val="center"/>
          </w:tcPr>
          <w:p w14:paraId="655070EF" w14:textId="77777777" w:rsidR="00EF46E0" w:rsidRPr="00E85969" w:rsidRDefault="00EF46E0" w:rsidP="00E85969">
            <w:pPr>
              <w:spacing w:before="40" w:after="40"/>
              <w:jc w:val="right"/>
              <w:rPr>
                <w:rFonts w:ascii="Arial" w:hAnsi="Arial" w:cs="Arial"/>
                <w:b/>
                <w:noProof/>
                <w:sz w:val="20"/>
                <w:szCs w:val="20"/>
                <w:lang w:eastAsia="en-US"/>
              </w:rPr>
            </w:pPr>
          </w:p>
        </w:tc>
        <w:tc>
          <w:tcPr>
            <w:tcW w:w="1250" w:type="pct"/>
            <w:tcBorders>
              <w:top w:val="single" w:sz="6" w:space="0" w:color="000000"/>
              <w:bottom w:val="single" w:sz="6" w:space="0" w:color="000000"/>
            </w:tcBorders>
            <w:shd w:val="clear" w:color="auto" w:fill="E2E2E2"/>
            <w:vAlign w:val="center"/>
          </w:tcPr>
          <w:p w14:paraId="5A097137" w14:textId="77777777" w:rsidR="00EF46E0" w:rsidRPr="00E85969" w:rsidRDefault="00EF46E0" w:rsidP="00E85969">
            <w:pPr>
              <w:spacing w:before="40" w:after="40"/>
              <w:rPr>
                <w:rFonts w:ascii="Arial" w:hAnsi="Arial" w:cs="Arial"/>
                <w:b/>
                <w:noProof/>
                <w:sz w:val="20"/>
                <w:szCs w:val="20"/>
                <w:lang w:eastAsia="en-US"/>
              </w:rPr>
            </w:pPr>
          </w:p>
        </w:tc>
        <w:tc>
          <w:tcPr>
            <w:tcW w:w="1250" w:type="pct"/>
            <w:tcBorders>
              <w:top w:val="single" w:sz="6" w:space="0" w:color="000000"/>
              <w:bottom w:val="single" w:sz="6" w:space="0" w:color="000000"/>
            </w:tcBorders>
            <w:shd w:val="clear" w:color="auto" w:fill="E2E2E2"/>
            <w:vAlign w:val="center"/>
          </w:tcPr>
          <w:p w14:paraId="37493681" w14:textId="77777777" w:rsidR="00EF46E0" w:rsidRPr="00E85969" w:rsidRDefault="00EF46E0" w:rsidP="00E85969">
            <w:pPr>
              <w:spacing w:before="40" w:after="40"/>
              <w:rPr>
                <w:rFonts w:ascii="Arial" w:hAnsi="Arial" w:cs="Arial"/>
                <w:b/>
                <w:noProof/>
                <w:sz w:val="20"/>
                <w:szCs w:val="20"/>
                <w:lang w:eastAsia="en-US"/>
              </w:rPr>
            </w:pPr>
          </w:p>
        </w:tc>
      </w:tr>
    </w:tbl>
    <w:p w14:paraId="7A091DF3" w14:textId="77777777" w:rsidR="00E85969" w:rsidRPr="00CE6109" w:rsidRDefault="00E85969" w:rsidP="00E85969">
      <w:pPr>
        <w:keepNext/>
        <w:keepLines/>
        <w:spacing w:before="280" w:after="120" w:line="220" w:lineRule="atLeast"/>
        <w:jc w:val="both"/>
        <w:outlineLvl w:val="3"/>
        <w:rPr>
          <w:rFonts w:ascii="Arial" w:hAnsi="Arial" w:cs="Arial"/>
          <w:spacing w:val="-4"/>
          <w:kern w:val="28"/>
          <w:sz w:val="20"/>
          <w:szCs w:val="20"/>
          <w:lang w:eastAsia="en-US"/>
        </w:rPr>
      </w:pPr>
      <w:r w:rsidRPr="00CE6109">
        <w:rPr>
          <w:rFonts w:ascii="Arial" w:hAnsi="Arial" w:cs="Arial"/>
          <w:spacing w:val="-4"/>
          <w:kern w:val="28"/>
          <w:sz w:val="20"/>
          <w:szCs w:val="20"/>
          <w:lang w:eastAsia="en-US"/>
        </w:rPr>
        <w:t>Origine, possibilità di utilizzo e distribuibilità delle varie altre riserve</w:t>
      </w:r>
    </w:p>
    <w:tbl>
      <w:tblPr>
        <w:tblW w:w="5000" w:type="pct"/>
        <w:tblBorders>
          <w:top w:val="single" w:sz="12" w:space="0" w:color="000000"/>
          <w:left w:val="nil"/>
          <w:bottom w:val="single" w:sz="12" w:space="0" w:color="000000"/>
          <w:right w:val="nil"/>
          <w:insideH w:val="nil"/>
          <w:insideV w:val="nil"/>
        </w:tblBorders>
        <w:shd w:val="clear" w:color="auto" w:fill="FFFFFF"/>
        <w:tblCellMar>
          <w:top w:w="40" w:type="dxa"/>
          <w:left w:w="40" w:type="dxa"/>
          <w:bottom w:w="40" w:type="dxa"/>
          <w:right w:w="40" w:type="dxa"/>
        </w:tblCellMar>
        <w:tblLook w:val="00A0" w:firstRow="1" w:lastRow="0" w:firstColumn="1" w:lastColumn="0" w:noHBand="0" w:noVBand="0"/>
      </w:tblPr>
      <w:tblGrid>
        <w:gridCol w:w="2127"/>
        <w:gridCol w:w="2126"/>
        <w:gridCol w:w="2126"/>
        <w:gridCol w:w="2126"/>
      </w:tblGrid>
      <w:tr w:rsidR="00E85969" w:rsidRPr="00E85969" w14:paraId="32C078DF" w14:textId="77777777" w:rsidTr="00B74C3B">
        <w:trPr>
          <w:tblHeader/>
        </w:trPr>
        <w:tc>
          <w:tcPr>
            <w:tcW w:w="1250" w:type="pct"/>
            <w:tcBorders>
              <w:top w:val="single" w:sz="12" w:space="0" w:color="000000"/>
              <w:bottom w:val="single" w:sz="12" w:space="0" w:color="000000"/>
            </w:tcBorders>
            <w:shd w:val="clear" w:color="auto" w:fill="D1D1D1"/>
            <w:vAlign w:val="center"/>
          </w:tcPr>
          <w:p w14:paraId="4ACEF38E" w14:textId="77777777" w:rsidR="00E85969" w:rsidRPr="00E85969" w:rsidRDefault="00E85969" w:rsidP="00E85969">
            <w:pPr>
              <w:spacing w:before="40" w:after="40"/>
              <w:jc w:val="center"/>
              <w:rPr>
                <w:rFonts w:ascii="Arial" w:hAnsi="Arial" w:cs="Arial"/>
                <w:b/>
                <w:noProof/>
                <w:sz w:val="20"/>
                <w:szCs w:val="20"/>
                <w:lang w:eastAsia="en-US"/>
              </w:rPr>
            </w:pPr>
            <w:r w:rsidRPr="00E85969">
              <w:rPr>
                <w:rFonts w:ascii="Arial" w:hAnsi="Arial" w:cs="Arial"/>
                <w:b/>
                <w:noProof/>
                <w:sz w:val="20"/>
                <w:szCs w:val="20"/>
                <w:lang w:eastAsia="en-US"/>
              </w:rPr>
              <w:t>Descrizione</w:t>
            </w:r>
          </w:p>
        </w:tc>
        <w:tc>
          <w:tcPr>
            <w:tcW w:w="1250" w:type="pct"/>
            <w:tcBorders>
              <w:top w:val="single" w:sz="12" w:space="0" w:color="000000"/>
              <w:bottom w:val="single" w:sz="12" w:space="0" w:color="000000"/>
            </w:tcBorders>
            <w:shd w:val="clear" w:color="auto" w:fill="D1D1D1"/>
            <w:vAlign w:val="center"/>
          </w:tcPr>
          <w:p w14:paraId="0062673B" w14:textId="77777777" w:rsidR="00E85969" w:rsidRPr="00E85969" w:rsidRDefault="00E85969" w:rsidP="00E85969">
            <w:pPr>
              <w:spacing w:before="40" w:after="40"/>
              <w:jc w:val="center"/>
              <w:rPr>
                <w:rFonts w:ascii="Arial" w:hAnsi="Arial" w:cs="Arial"/>
                <w:b/>
                <w:noProof/>
                <w:sz w:val="20"/>
                <w:szCs w:val="20"/>
                <w:lang w:eastAsia="en-US"/>
              </w:rPr>
            </w:pPr>
            <w:r w:rsidRPr="00E85969">
              <w:rPr>
                <w:rFonts w:ascii="Arial" w:hAnsi="Arial" w:cs="Arial"/>
                <w:b/>
                <w:noProof/>
                <w:sz w:val="20"/>
                <w:szCs w:val="20"/>
                <w:lang w:eastAsia="en-US"/>
              </w:rPr>
              <w:t>Importo</w:t>
            </w:r>
          </w:p>
        </w:tc>
        <w:tc>
          <w:tcPr>
            <w:tcW w:w="1250" w:type="pct"/>
            <w:tcBorders>
              <w:top w:val="single" w:sz="12" w:space="0" w:color="000000"/>
              <w:bottom w:val="single" w:sz="12" w:space="0" w:color="000000"/>
            </w:tcBorders>
            <w:shd w:val="clear" w:color="auto" w:fill="D1D1D1"/>
            <w:vAlign w:val="center"/>
          </w:tcPr>
          <w:p w14:paraId="5A1EF156" w14:textId="77777777" w:rsidR="00E85969" w:rsidRPr="00E85969" w:rsidRDefault="00E85969" w:rsidP="00E85969">
            <w:pPr>
              <w:spacing w:before="40" w:after="40"/>
              <w:jc w:val="center"/>
              <w:rPr>
                <w:rFonts w:ascii="Arial" w:hAnsi="Arial" w:cs="Arial"/>
                <w:b/>
                <w:noProof/>
                <w:sz w:val="20"/>
                <w:szCs w:val="20"/>
                <w:lang w:eastAsia="en-US"/>
              </w:rPr>
            </w:pPr>
            <w:r w:rsidRPr="00E85969">
              <w:rPr>
                <w:rFonts w:ascii="Arial" w:hAnsi="Arial" w:cs="Arial"/>
                <w:b/>
                <w:noProof/>
                <w:sz w:val="20"/>
                <w:szCs w:val="20"/>
                <w:lang w:eastAsia="en-US"/>
              </w:rPr>
              <w:t>Origine/Natura</w:t>
            </w:r>
          </w:p>
        </w:tc>
        <w:tc>
          <w:tcPr>
            <w:tcW w:w="1250" w:type="pct"/>
            <w:tcBorders>
              <w:top w:val="single" w:sz="12" w:space="0" w:color="000000"/>
              <w:bottom w:val="single" w:sz="12" w:space="0" w:color="000000"/>
            </w:tcBorders>
            <w:shd w:val="clear" w:color="auto" w:fill="D1D1D1"/>
            <w:vAlign w:val="center"/>
          </w:tcPr>
          <w:p w14:paraId="701D6534" w14:textId="77777777" w:rsidR="00E85969" w:rsidRPr="00E85969" w:rsidRDefault="00E85969" w:rsidP="00E85969">
            <w:pPr>
              <w:spacing w:before="40" w:after="40"/>
              <w:jc w:val="center"/>
              <w:rPr>
                <w:rFonts w:ascii="Arial" w:hAnsi="Arial" w:cs="Arial"/>
                <w:b/>
                <w:noProof/>
                <w:sz w:val="20"/>
                <w:szCs w:val="20"/>
                <w:lang w:eastAsia="en-US"/>
              </w:rPr>
            </w:pPr>
            <w:r w:rsidRPr="00E85969">
              <w:rPr>
                <w:rFonts w:ascii="Arial" w:hAnsi="Arial" w:cs="Arial"/>
                <w:b/>
                <w:noProof/>
                <w:sz w:val="20"/>
                <w:szCs w:val="20"/>
                <w:lang w:eastAsia="en-US"/>
              </w:rPr>
              <w:t>Possibilità di utilizzazioni</w:t>
            </w:r>
          </w:p>
        </w:tc>
      </w:tr>
      <w:tr w:rsidR="00EF46E0" w:rsidRPr="00EF46E0" w14:paraId="7BD33A3E" w14:textId="77777777" w:rsidTr="00EF46E0">
        <w:tc>
          <w:tcPr>
            <w:tcW w:w="1250" w:type="pct"/>
            <w:tcBorders>
              <w:top w:val="single" w:sz="6" w:space="0" w:color="000000"/>
              <w:bottom w:val="single" w:sz="6" w:space="0" w:color="000000"/>
            </w:tcBorders>
            <w:shd w:val="clear" w:color="auto" w:fill="auto"/>
            <w:vAlign w:val="center"/>
          </w:tcPr>
          <w:p w14:paraId="1CE9DBF4" w14:textId="77777777" w:rsidR="00EF46E0" w:rsidRPr="00EF46E0" w:rsidRDefault="00EF46E0" w:rsidP="000149EB">
            <w:pPr>
              <w:spacing w:before="40" w:after="40"/>
              <w:rPr>
                <w:rFonts w:ascii="Arial" w:hAnsi="Arial" w:cs="Arial"/>
                <w:noProof/>
                <w:sz w:val="20"/>
                <w:szCs w:val="20"/>
                <w:lang w:eastAsia="en-US"/>
              </w:rPr>
            </w:pPr>
            <w:r>
              <w:rPr>
                <w:rFonts w:ascii="Arial" w:hAnsi="Arial" w:cs="Arial"/>
                <w:noProof/>
                <w:sz w:val="20"/>
                <w:szCs w:val="20"/>
                <w:lang w:eastAsia="en-US"/>
              </w:rPr>
              <w:t xml:space="preserve">Altre riserve </w:t>
            </w:r>
          </w:p>
        </w:tc>
        <w:tc>
          <w:tcPr>
            <w:tcW w:w="1250" w:type="pct"/>
            <w:tcBorders>
              <w:top w:val="single" w:sz="6" w:space="0" w:color="000000"/>
              <w:bottom w:val="single" w:sz="6" w:space="0" w:color="000000"/>
            </w:tcBorders>
            <w:shd w:val="clear" w:color="auto" w:fill="auto"/>
            <w:vAlign w:val="center"/>
          </w:tcPr>
          <w:p w14:paraId="52A7EA6B" w14:textId="77777777" w:rsidR="00EF46E0" w:rsidRPr="00EF46E0" w:rsidRDefault="00EF46E0" w:rsidP="000149EB">
            <w:pPr>
              <w:spacing w:before="40" w:after="40"/>
              <w:jc w:val="right"/>
              <w:rPr>
                <w:rFonts w:ascii="Arial" w:hAnsi="Arial" w:cs="Arial"/>
                <w:noProof/>
                <w:sz w:val="20"/>
                <w:szCs w:val="20"/>
                <w:lang w:eastAsia="en-US"/>
              </w:rPr>
            </w:pPr>
            <w:r>
              <w:rPr>
                <w:rFonts w:ascii="Arial" w:hAnsi="Arial" w:cs="Arial"/>
                <w:noProof/>
                <w:sz w:val="20"/>
                <w:szCs w:val="20"/>
                <w:lang w:eastAsia="en-US"/>
              </w:rPr>
              <w:t>19.352.61</w:t>
            </w:r>
            <w:r w:rsidR="0008614F">
              <w:rPr>
                <w:rFonts w:ascii="Arial" w:hAnsi="Arial" w:cs="Arial"/>
                <w:noProof/>
                <w:sz w:val="20"/>
                <w:szCs w:val="20"/>
                <w:lang w:eastAsia="en-US"/>
              </w:rPr>
              <w:t>8</w:t>
            </w:r>
          </w:p>
        </w:tc>
        <w:tc>
          <w:tcPr>
            <w:tcW w:w="1250" w:type="pct"/>
            <w:tcBorders>
              <w:top w:val="single" w:sz="6" w:space="0" w:color="000000"/>
              <w:bottom w:val="single" w:sz="6" w:space="0" w:color="000000"/>
            </w:tcBorders>
            <w:shd w:val="clear" w:color="auto" w:fill="auto"/>
            <w:vAlign w:val="center"/>
          </w:tcPr>
          <w:p w14:paraId="0ED8EF5A" w14:textId="77777777" w:rsidR="00EF46E0" w:rsidRPr="00EF46E0" w:rsidRDefault="00EF46E0" w:rsidP="00766657">
            <w:pPr>
              <w:spacing w:before="40" w:after="40"/>
              <w:jc w:val="center"/>
              <w:rPr>
                <w:rFonts w:ascii="Arial" w:hAnsi="Arial" w:cs="Arial"/>
                <w:noProof/>
                <w:sz w:val="20"/>
                <w:szCs w:val="20"/>
                <w:lang w:eastAsia="en-US"/>
              </w:rPr>
            </w:pPr>
            <w:r>
              <w:rPr>
                <w:rFonts w:ascii="Arial" w:hAnsi="Arial" w:cs="Arial"/>
                <w:noProof/>
                <w:sz w:val="20"/>
                <w:szCs w:val="20"/>
                <w:lang w:eastAsia="en-US"/>
              </w:rPr>
              <w:t>E</w:t>
            </w:r>
          </w:p>
        </w:tc>
        <w:tc>
          <w:tcPr>
            <w:tcW w:w="1250" w:type="pct"/>
            <w:tcBorders>
              <w:top w:val="single" w:sz="6" w:space="0" w:color="000000"/>
              <w:bottom w:val="single" w:sz="6" w:space="0" w:color="000000"/>
            </w:tcBorders>
            <w:shd w:val="clear" w:color="auto" w:fill="auto"/>
            <w:vAlign w:val="center"/>
          </w:tcPr>
          <w:p w14:paraId="3363196D" w14:textId="77777777" w:rsidR="00EF46E0" w:rsidRPr="00EF46E0" w:rsidRDefault="00EF46E0" w:rsidP="00E85969">
            <w:pPr>
              <w:spacing w:before="40" w:after="40"/>
              <w:rPr>
                <w:rFonts w:ascii="Arial" w:hAnsi="Arial" w:cs="Arial"/>
                <w:noProof/>
                <w:sz w:val="20"/>
                <w:szCs w:val="20"/>
                <w:lang w:eastAsia="en-US"/>
              </w:rPr>
            </w:pPr>
          </w:p>
        </w:tc>
      </w:tr>
      <w:tr w:rsidR="00E85969" w:rsidRPr="00E85969" w14:paraId="18E00FB7" w14:textId="77777777" w:rsidTr="00B74C3B">
        <w:tc>
          <w:tcPr>
            <w:tcW w:w="1250" w:type="pct"/>
            <w:tcBorders>
              <w:top w:val="single" w:sz="6" w:space="0" w:color="000000"/>
              <w:bottom w:val="single" w:sz="6" w:space="0" w:color="000000"/>
            </w:tcBorders>
            <w:shd w:val="clear" w:color="auto" w:fill="E2E2E2"/>
            <w:vAlign w:val="center"/>
          </w:tcPr>
          <w:p w14:paraId="716E5FF2" w14:textId="77777777" w:rsidR="00E85969" w:rsidRPr="00E85969" w:rsidRDefault="00E85969" w:rsidP="00E85969">
            <w:pPr>
              <w:spacing w:before="40" w:after="40"/>
              <w:rPr>
                <w:rFonts w:ascii="Arial" w:hAnsi="Arial" w:cs="Arial"/>
                <w:b/>
                <w:noProof/>
                <w:sz w:val="20"/>
                <w:szCs w:val="20"/>
                <w:lang w:eastAsia="en-US"/>
              </w:rPr>
            </w:pPr>
            <w:r w:rsidRPr="00E85969">
              <w:rPr>
                <w:rFonts w:ascii="Arial" w:hAnsi="Arial" w:cs="Arial"/>
                <w:b/>
                <w:noProof/>
                <w:sz w:val="20"/>
                <w:szCs w:val="20"/>
                <w:lang w:eastAsia="en-US"/>
              </w:rPr>
              <w:t>Totale</w:t>
            </w:r>
          </w:p>
        </w:tc>
        <w:tc>
          <w:tcPr>
            <w:tcW w:w="1250" w:type="pct"/>
            <w:tcBorders>
              <w:top w:val="single" w:sz="6" w:space="0" w:color="000000"/>
              <w:bottom w:val="single" w:sz="6" w:space="0" w:color="000000"/>
            </w:tcBorders>
            <w:shd w:val="clear" w:color="auto" w:fill="E2E2E2"/>
            <w:vAlign w:val="center"/>
          </w:tcPr>
          <w:p w14:paraId="3263B7D5" w14:textId="77777777" w:rsidR="00E85969" w:rsidRPr="00E85969" w:rsidRDefault="000149EB" w:rsidP="00E85969">
            <w:pPr>
              <w:spacing w:before="40" w:after="40"/>
              <w:jc w:val="right"/>
              <w:rPr>
                <w:rFonts w:ascii="Arial" w:hAnsi="Arial" w:cs="Arial"/>
                <w:b/>
                <w:noProof/>
                <w:sz w:val="20"/>
                <w:szCs w:val="20"/>
                <w:lang w:eastAsia="en-US"/>
              </w:rPr>
            </w:pPr>
            <w:r>
              <w:rPr>
                <w:rFonts w:ascii="Arial" w:hAnsi="Arial" w:cs="Arial"/>
                <w:b/>
                <w:noProof/>
                <w:sz w:val="20"/>
                <w:szCs w:val="20"/>
                <w:lang w:eastAsia="en-US"/>
              </w:rPr>
              <w:t>26.887.182</w:t>
            </w:r>
          </w:p>
        </w:tc>
        <w:tc>
          <w:tcPr>
            <w:tcW w:w="1250" w:type="pct"/>
            <w:tcBorders>
              <w:top w:val="single" w:sz="6" w:space="0" w:color="000000"/>
              <w:bottom w:val="single" w:sz="6" w:space="0" w:color="000000"/>
            </w:tcBorders>
            <w:shd w:val="clear" w:color="auto" w:fill="E2E2E2"/>
            <w:vAlign w:val="center"/>
          </w:tcPr>
          <w:p w14:paraId="36903607" w14:textId="77777777" w:rsidR="00E85969" w:rsidRPr="00E85969" w:rsidRDefault="00E85969" w:rsidP="00E85969">
            <w:pPr>
              <w:spacing w:before="40" w:after="40"/>
              <w:rPr>
                <w:rFonts w:ascii="Arial" w:hAnsi="Arial" w:cs="Arial"/>
                <w:b/>
                <w:noProof/>
                <w:sz w:val="20"/>
                <w:szCs w:val="20"/>
                <w:lang w:eastAsia="en-US"/>
              </w:rPr>
            </w:pPr>
          </w:p>
        </w:tc>
        <w:tc>
          <w:tcPr>
            <w:tcW w:w="1250" w:type="pct"/>
            <w:tcBorders>
              <w:top w:val="single" w:sz="6" w:space="0" w:color="000000"/>
              <w:bottom w:val="single" w:sz="6" w:space="0" w:color="000000"/>
            </w:tcBorders>
            <w:shd w:val="clear" w:color="auto" w:fill="E2E2E2"/>
            <w:vAlign w:val="center"/>
          </w:tcPr>
          <w:p w14:paraId="5575879A" w14:textId="77777777" w:rsidR="00E85969" w:rsidRPr="00E85969" w:rsidRDefault="00E85969" w:rsidP="00E85969">
            <w:pPr>
              <w:spacing w:before="40" w:after="40"/>
              <w:rPr>
                <w:rFonts w:ascii="Arial" w:hAnsi="Arial" w:cs="Arial"/>
                <w:b/>
                <w:noProof/>
                <w:sz w:val="20"/>
                <w:szCs w:val="20"/>
                <w:lang w:eastAsia="en-US"/>
              </w:rPr>
            </w:pPr>
          </w:p>
        </w:tc>
      </w:tr>
      <w:tr w:rsidR="00E85969" w:rsidRPr="00E85969" w14:paraId="137CDA3C" w14:textId="77777777" w:rsidTr="00B74C3B">
        <w:tc>
          <w:tcPr>
            <w:tcW w:w="5000" w:type="pct"/>
            <w:gridSpan w:val="4"/>
            <w:tcBorders>
              <w:top w:val="single" w:sz="6" w:space="0" w:color="000000"/>
              <w:bottom w:val="single" w:sz="12" w:space="0" w:color="000000"/>
            </w:tcBorders>
            <w:shd w:val="clear" w:color="auto" w:fill="DBDBDB"/>
            <w:vAlign w:val="center"/>
          </w:tcPr>
          <w:p w14:paraId="66C7A11E" w14:textId="77777777" w:rsidR="00E85969" w:rsidRPr="00E85969" w:rsidRDefault="00E85969" w:rsidP="00E85969">
            <w:pPr>
              <w:spacing w:before="40" w:after="40"/>
              <w:rPr>
                <w:rFonts w:ascii="Arial" w:hAnsi="Arial" w:cs="Arial"/>
                <w:b/>
                <w:noProof/>
                <w:sz w:val="20"/>
                <w:szCs w:val="20"/>
                <w:lang w:eastAsia="en-US"/>
              </w:rPr>
            </w:pPr>
            <w:r w:rsidRPr="00E85969">
              <w:rPr>
                <w:rFonts w:ascii="Arial" w:hAnsi="Arial" w:cs="Arial"/>
                <w:b/>
                <w:noProof/>
                <w:sz w:val="20"/>
                <w:szCs w:val="20"/>
                <w:lang w:eastAsia="en-US"/>
              </w:rPr>
              <w:t>Legenda: A: per aumento di capitale; B: per copertura perdite; C: per distribuzione ai soci; D: per altri vincoli statutari; E: altro</w:t>
            </w:r>
          </w:p>
        </w:tc>
      </w:tr>
    </w:tbl>
    <w:p w14:paraId="37CCFD93" w14:textId="77777777" w:rsidR="00E85969" w:rsidRPr="00E85969" w:rsidRDefault="00E85969" w:rsidP="00E85969">
      <w:pPr>
        <w:spacing w:before="80" w:after="40" w:line="220" w:lineRule="atLeast"/>
        <w:jc w:val="both"/>
        <w:rPr>
          <w:rFonts w:ascii="Arial" w:hAnsi="Arial" w:cs="Arial"/>
          <w:sz w:val="20"/>
          <w:szCs w:val="20"/>
          <w:lang w:eastAsia="en-US"/>
        </w:rPr>
      </w:pPr>
    </w:p>
    <w:p w14:paraId="4E28B8B5" w14:textId="77777777" w:rsidR="00E85969" w:rsidRPr="00E85969" w:rsidRDefault="00E85969" w:rsidP="00E85969">
      <w:pPr>
        <w:autoSpaceDE w:val="0"/>
        <w:autoSpaceDN w:val="0"/>
        <w:adjustRightInd w:val="0"/>
        <w:rPr>
          <w:rFonts w:ascii="Arial" w:hAnsi="Arial" w:cs="Arial"/>
          <w:sz w:val="20"/>
          <w:szCs w:val="20"/>
        </w:rPr>
      </w:pPr>
      <w:r w:rsidRPr="00E85969">
        <w:rPr>
          <w:rFonts w:ascii="Arial" w:hAnsi="Arial" w:cs="Arial"/>
          <w:sz w:val="20"/>
          <w:szCs w:val="20"/>
        </w:rPr>
        <w:t>Nella precedente tabella vengono fornite per ciascuna voce le possibilità di utilizzazione come di seguito indicato:</w:t>
      </w:r>
    </w:p>
    <w:p w14:paraId="0B42DC76" w14:textId="77777777" w:rsidR="00E85969" w:rsidRPr="00E85969" w:rsidRDefault="00E85969" w:rsidP="001629CA">
      <w:pPr>
        <w:numPr>
          <w:ilvl w:val="0"/>
          <w:numId w:val="8"/>
        </w:numPr>
        <w:autoSpaceDE w:val="0"/>
        <w:autoSpaceDN w:val="0"/>
        <w:adjustRightInd w:val="0"/>
        <w:spacing w:before="80" w:after="40" w:line="220" w:lineRule="atLeast"/>
        <w:jc w:val="both"/>
        <w:rPr>
          <w:rFonts w:ascii="Arial" w:hAnsi="Arial" w:cs="Arial"/>
          <w:sz w:val="20"/>
          <w:szCs w:val="20"/>
        </w:rPr>
      </w:pPr>
      <w:r w:rsidRPr="00E85969">
        <w:rPr>
          <w:rFonts w:ascii="Arial" w:hAnsi="Arial" w:cs="Arial"/>
          <w:sz w:val="20"/>
          <w:szCs w:val="20"/>
        </w:rPr>
        <w:t>A: per aumento di capitale</w:t>
      </w:r>
    </w:p>
    <w:p w14:paraId="1F105324" w14:textId="77777777" w:rsidR="00E85969" w:rsidRDefault="00E85969" w:rsidP="001629CA">
      <w:pPr>
        <w:numPr>
          <w:ilvl w:val="0"/>
          <w:numId w:val="8"/>
        </w:numPr>
        <w:autoSpaceDE w:val="0"/>
        <w:autoSpaceDN w:val="0"/>
        <w:adjustRightInd w:val="0"/>
        <w:spacing w:before="80" w:after="40" w:line="220" w:lineRule="atLeast"/>
        <w:jc w:val="both"/>
        <w:rPr>
          <w:rFonts w:ascii="Arial" w:hAnsi="Arial" w:cs="Arial"/>
          <w:sz w:val="20"/>
          <w:szCs w:val="20"/>
        </w:rPr>
      </w:pPr>
      <w:r w:rsidRPr="00E85969">
        <w:rPr>
          <w:rFonts w:ascii="Arial" w:hAnsi="Arial" w:cs="Arial"/>
          <w:sz w:val="20"/>
          <w:szCs w:val="20"/>
        </w:rPr>
        <w:t>B: per copertura perdite</w:t>
      </w:r>
    </w:p>
    <w:p w14:paraId="50524F5D" w14:textId="77777777" w:rsidR="00B24813" w:rsidRPr="000149EB" w:rsidRDefault="000149EB" w:rsidP="001629CA">
      <w:pPr>
        <w:numPr>
          <w:ilvl w:val="0"/>
          <w:numId w:val="8"/>
        </w:numPr>
        <w:autoSpaceDE w:val="0"/>
        <w:autoSpaceDN w:val="0"/>
        <w:adjustRightInd w:val="0"/>
        <w:spacing w:before="80" w:after="40" w:line="220" w:lineRule="atLeast"/>
        <w:jc w:val="both"/>
        <w:rPr>
          <w:rFonts w:ascii="Arial" w:hAnsi="Arial" w:cs="Arial"/>
          <w:sz w:val="20"/>
          <w:szCs w:val="20"/>
        </w:rPr>
      </w:pPr>
      <w:r>
        <w:rPr>
          <w:rFonts w:ascii="Arial" w:hAnsi="Arial" w:cs="Arial"/>
          <w:sz w:val="20"/>
          <w:szCs w:val="20"/>
        </w:rPr>
        <w:t>C: per distribuzione ai soci</w:t>
      </w:r>
    </w:p>
    <w:p w14:paraId="00BB80F9" w14:textId="77777777" w:rsidR="0008614F" w:rsidRDefault="0008614F" w:rsidP="00CF6B12">
      <w:pPr>
        <w:tabs>
          <w:tab w:val="center" w:pos="4819"/>
          <w:tab w:val="right" w:pos="9638"/>
        </w:tabs>
        <w:spacing w:before="120" w:after="120"/>
        <w:jc w:val="both"/>
        <w:rPr>
          <w:rFonts w:ascii="Arial" w:hAnsi="Arial" w:cs="Arial"/>
          <w:sz w:val="20"/>
          <w:szCs w:val="20"/>
        </w:rPr>
      </w:pPr>
      <w:r w:rsidRPr="0008614F">
        <w:rPr>
          <w:rFonts w:ascii="Arial" w:hAnsi="Arial" w:cs="Arial"/>
          <w:sz w:val="20"/>
          <w:szCs w:val="20"/>
        </w:rPr>
        <w:t xml:space="preserve">Sebbene Napoli Holding abbia chiuso l’esercizio 2019 con risultato positivo di gestione, l’utile conseguito, pari ad euro 214.374, non ha consentito la riduzione delle perdite pregresse, pari ad euro 9.901 mila, a meno di un terzo del capitale sociale, circostanza, quest’ultima, che determina la necessità, ai sensi e per gli effetti del quarto comma dell’art. 2482 bis del codice civile, da parte dell’assemblea convocata per l’approvazione del </w:t>
      </w:r>
      <w:r>
        <w:rPr>
          <w:rFonts w:ascii="Arial" w:hAnsi="Arial" w:cs="Arial"/>
          <w:sz w:val="20"/>
          <w:szCs w:val="20"/>
        </w:rPr>
        <w:t>Bilancio 2019</w:t>
      </w:r>
      <w:r w:rsidRPr="0008614F">
        <w:rPr>
          <w:rFonts w:ascii="Arial" w:hAnsi="Arial" w:cs="Arial"/>
          <w:sz w:val="20"/>
          <w:szCs w:val="20"/>
        </w:rPr>
        <w:t xml:space="preserve"> di provvedere alla riduzione del capitale in proporzione delle perdite accertate.</w:t>
      </w:r>
    </w:p>
    <w:p w14:paraId="344F904C" w14:textId="77777777" w:rsidR="00FA68F4" w:rsidRDefault="00FA68F4" w:rsidP="00CF6B12">
      <w:pPr>
        <w:tabs>
          <w:tab w:val="center" w:pos="4819"/>
          <w:tab w:val="right" w:pos="9638"/>
        </w:tabs>
        <w:spacing w:before="120" w:after="120"/>
        <w:jc w:val="both"/>
        <w:rPr>
          <w:rFonts w:ascii="Arial" w:hAnsi="Arial" w:cs="Arial"/>
          <w:sz w:val="20"/>
          <w:szCs w:val="20"/>
        </w:rPr>
      </w:pPr>
    </w:p>
    <w:p w14:paraId="6B5F8428" w14:textId="77777777" w:rsidR="00EE4AF0" w:rsidRPr="00CE6109" w:rsidRDefault="00EE4AF0" w:rsidP="00CF6B12">
      <w:pPr>
        <w:tabs>
          <w:tab w:val="center" w:pos="4819"/>
          <w:tab w:val="right" w:pos="9638"/>
        </w:tabs>
        <w:spacing w:before="120" w:after="120"/>
        <w:jc w:val="both"/>
        <w:rPr>
          <w:rFonts w:ascii="Arial" w:hAnsi="Arial" w:cs="Arial"/>
          <w:b/>
          <w:snapToGrid w:val="0"/>
          <w:sz w:val="20"/>
        </w:rPr>
      </w:pPr>
      <w:r w:rsidRPr="00CE6109">
        <w:rPr>
          <w:rFonts w:ascii="Arial" w:hAnsi="Arial" w:cs="Arial"/>
          <w:b/>
          <w:snapToGrid w:val="0"/>
          <w:sz w:val="20"/>
        </w:rPr>
        <w:t>Fondo rischi ed oneri</w:t>
      </w:r>
    </w:p>
    <w:p w14:paraId="38A1CD92" w14:textId="0AB0383B" w:rsidR="00D65236" w:rsidRDefault="00EE4AF0" w:rsidP="002D4D1D">
      <w:pPr>
        <w:widowControl w:val="0"/>
        <w:tabs>
          <w:tab w:val="left" w:pos="1260"/>
          <w:tab w:val="left" w:pos="5147"/>
        </w:tabs>
        <w:spacing w:before="120" w:after="120"/>
        <w:jc w:val="both"/>
        <w:rPr>
          <w:rFonts w:ascii="Arial" w:hAnsi="Arial" w:cs="Arial"/>
          <w:snapToGrid w:val="0"/>
          <w:sz w:val="20"/>
        </w:rPr>
      </w:pPr>
      <w:r>
        <w:rPr>
          <w:rFonts w:ascii="Arial" w:hAnsi="Arial" w:cs="Arial"/>
          <w:snapToGrid w:val="0"/>
          <w:sz w:val="20"/>
        </w:rPr>
        <w:lastRenderedPageBreak/>
        <w:t>Il fondo rischi ed oneri è così c</w:t>
      </w:r>
      <w:r w:rsidR="00B35FD2">
        <w:rPr>
          <w:rFonts w:ascii="Arial" w:hAnsi="Arial" w:cs="Arial"/>
          <w:snapToGrid w:val="0"/>
          <w:sz w:val="20"/>
        </w:rPr>
        <w:t>omposto e variato rispetto all’inizio dell’</w:t>
      </w:r>
      <w:r w:rsidR="00271429">
        <w:rPr>
          <w:rFonts w:ascii="Arial" w:hAnsi="Arial" w:cs="Arial"/>
          <w:snapToGrid w:val="0"/>
          <w:sz w:val="20"/>
        </w:rPr>
        <w:t>esercizio</w:t>
      </w:r>
      <w:r w:rsidR="00D65236">
        <w:rPr>
          <w:rFonts w:ascii="Arial" w:hAnsi="Arial" w:cs="Arial"/>
          <w:snapToGrid w:val="0"/>
          <w:sz w:val="20"/>
        </w:rPr>
        <w:t>:</w:t>
      </w:r>
    </w:p>
    <w:p w14:paraId="4A5DE1FD" w14:textId="0912FDDD" w:rsidR="00EE4AF0" w:rsidRDefault="00693B59" w:rsidP="002D4D1D">
      <w:pPr>
        <w:widowControl w:val="0"/>
        <w:tabs>
          <w:tab w:val="left" w:pos="1260"/>
          <w:tab w:val="left" w:pos="5147"/>
        </w:tabs>
        <w:spacing w:before="120" w:after="120"/>
        <w:jc w:val="both"/>
        <w:rPr>
          <w:rFonts w:ascii="Arial" w:hAnsi="Arial" w:cs="Arial"/>
          <w:snapToGrid w:val="0"/>
          <w:sz w:val="20"/>
        </w:rPr>
      </w:pPr>
      <w:r w:rsidRPr="008B3BFA">
        <w:rPr>
          <w:rFonts w:ascii="Arial" w:hAnsi="Arial" w:cs="Arial"/>
          <w:i/>
          <w:iCs/>
          <w:snapToGrid w:val="0"/>
          <w:sz w:val="18"/>
          <w:szCs w:val="18"/>
        </w:rPr>
        <w:t>Euro</w:t>
      </w:r>
      <w:r w:rsidR="00271429" w:rsidRPr="008B3BFA">
        <w:rPr>
          <w:rFonts w:ascii="Arial" w:hAnsi="Arial" w:cs="Arial"/>
          <w:i/>
          <w:iCs/>
          <w:snapToGrid w:val="0"/>
          <w:sz w:val="18"/>
          <w:szCs w:val="18"/>
        </w:rPr>
        <w:t>/000</w:t>
      </w:r>
      <w:r w:rsidR="00271429">
        <w:rPr>
          <w:rFonts w:ascii="Arial" w:hAnsi="Arial" w:cs="Arial"/>
          <w:snapToGrid w:val="0"/>
          <w:sz w:val="20"/>
        </w:rPr>
        <w:t>:</w:t>
      </w:r>
    </w:p>
    <w:p w14:paraId="0EB374EA" w14:textId="555AC627" w:rsidR="00F33310" w:rsidRDefault="00CE6109" w:rsidP="002D4D1D">
      <w:pPr>
        <w:widowControl w:val="0"/>
        <w:tabs>
          <w:tab w:val="left" w:pos="1260"/>
          <w:tab w:val="left" w:pos="5147"/>
        </w:tabs>
        <w:spacing w:before="120" w:after="120"/>
        <w:jc w:val="both"/>
        <w:rPr>
          <w:rFonts w:ascii="Arial" w:hAnsi="Arial" w:cs="Arial"/>
          <w:snapToGrid w:val="0"/>
          <w:sz w:val="20"/>
        </w:rPr>
      </w:pPr>
      <w:r>
        <w:rPr>
          <w:noProof/>
        </w:rPr>
        <w:drawing>
          <wp:inline distT="0" distB="0" distL="0" distR="0" wp14:anchorId="6523B89E" wp14:editId="3EBC356F">
            <wp:extent cx="5400675" cy="65722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657225"/>
                    </a:xfrm>
                    <a:prstGeom prst="rect">
                      <a:avLst/>
                    </a:prstGeom>
                    <a:noFill/>
                    <a:ln>
                      <a:noFill/>
                    </a:ln>
                  </pic:spPr>
                </pic:pic>
              </a:graphicData>
            </a:graphic>
          </wp:inline>
        </w:drawing>
      </w:r>
    </w:p>
    <w:p w14:paraId="1598EBDC" w14:textId="77777777" w:rsidR="00675FF4" w:rsidRDefault="009A22D0" w:rsidP="00675FF4">
      <w:pPr>
        <w:widowControl w:val="0"/>
        <w:tabs>
          <w:tab w:val="left" w:pos="5147"/>
        </w:tabs>
        <w:spacing w:before="120" w:after="120"/>
        <w:jc w:val="both"/>
        <w:rPr>
          <w:rFonts w:ascii="Arial" w:hAnsi="Arial" w:cs="Arial"/>
          <w:snapToGrid w:val="0"/>
          <w:sz w:val="20"/>
        </w:rPr>
      </w:pPr>
      <w:r>
        <w:rPr>
          <w:rFonts w:ascii="Arial" w:hAnsi="Arial" w:cs="Arial"/>
          <w:snapToGrid w:val="0"/>
          <w:sz w:val="20"/>
        </w:rPr>
        <w:t>Il fondo per imposte accoglie accantonamenti per rischi legati a contenziosi fiscali della Controllata</w:t>
      </w:r>
      <w:r w:rsidR="007C07CE">
        <w:rPr>
          <w:rFonts w:ascii="Arial" w:hAnsi="Arial" w:cs="Arial"/>
          <w:snapToGrid w:val="0"/>
          <w:sz w:val="20"/>
        </w:rPr>
        <w:t xml:space="preserve"> e risulta così composta</w:t>
      </w:r>
      <w:r w:rsidR="00675FF4" w:rsidRPr="00675FF4">
        <w:rPr>
          <w:rFonts w:ascii="Arial" w:hAnsi="Arial" w:cs="Arial"/>
          <w:snapToGrid w:val="0"/>
          <w:sz w:val="20"/>
        </w:rPr>
        <w:t>:</w:t>
      </w:r>
    </w:p>
    <w:p w14:paraId="269D08E7" w14:textId="385BAF8A" w:rsidR="007C07CE" w:rsidRPr="007C07CE" w:rsidRDefault="007C07CE" w:rsidP="0049512E">
      <w:pPr>
        <w:widowControl w:val="0"/>
        <w:numPr>
          <w:ilvl w:val="0"/>
          <w:numId w:val="29"/>
        </w:numPr>
        <w:tabs>
          <w:tab w:val="left" w:pos="5147"/>
        </w:tabs>
        <w:spacing w:before="120" w:after="120"/>
        <w:jc w:val="both"/>
        <w:rPr>
          <w:rFonts w:ascii="Arial" w:hAnsi="Arial" w:cs="Arial"/>
          <w:snapToGrid w:val="0"/>
          <w:sz w:val="20"/>
        </w:rPr>
      </w:pPr>
      <w:r w:rsidRPr="007C07CE">
        <w:rPr>
          <w:rFonts w:ascii="Arial" w:hAnsi="Arial" w:cs="Arial"/>
          <w:bCs/>
          <w:snapToGrid w:val="0"/>
          <w:sz w:val="20"/>
        </w:rPr>
        <w:t xml:space="preserve">l’importo di 464 </w:t>
      </w:r>
      <w:r w:rsidRPr="007C07CE">
        <w:rPr>
          <w:rFonts w:ascii="Arial" w:hAnsi="Arial" w:cs="Arial"/>
          <w:snapToGrid w:val="0"/>
          <w:sz w:val="20"/>
        </w:rPr>
        <w:t xml:space="preserve">€/000 </w:t>
      </w:r>
      <w:r w:rsidRPr="007C07CE">
        <w:rPr>
          <w:rFonts w:ascii="Arial" w:hAnsi="Arial" w:cs="Arial"/>
          <w:bCs/>
          <w:snapToGrid w:val="0"/>
          <w:sz w:val="20"/>
        </w:rPr>
        <w:t xml:space="preserve"> relativo alla copertura rischi di un potenziale contenzioso di natura tributaria per aver la società (ex MTN) usufruito, in sede di dichiarazione dei redditi per l’anno di imposta 2012, dell’agevolazione del cd </w:t>
      </w:r>
      <w:r w:rsidRPr="007C07CE">
        <w:rPr>
          <w:rFonts w:ascii="Arial" w:hAnsi="Arial" w:cs="Arial"/>
          <w:bCs/>
          <w:i/>
          <w:snapToGrid w:val="0"/>
          <w:sz w:val="20"/>
        </w:rPr>
        <w:t>“cuneo fiscale e contributivo</w:t>
      </w:r>
      <w:r w:rsidRPr="007C07CE">
        <w:rPr>
          <w:rFonts w:ascii="Arial" w:hAnsi="Arial" w:cs="Arial"/>
          <w:bCs/>
          <w:snapToGrid w:val="0"/>
          <w:sz w:val="20"/>
        </w:rPr>
        <w:t xml:space="preserve">”, sulla quale, nonostante l’orientamento restrittivo dell’Amministrazione finanziaria nel riconoscimento di tale beneficio alle aziende operanti nel trasporto pubblico locale, recente giurisprudenza tributaria sull’argomento (C.T.P. di Brescia – sentenza n. 61/2012, C.T.P. di Brescia – sentenza n. 62/2012, C.T.P. di Trieste – sentenza n. 131/2011 confermata dalla C.T.R. del Veneto) ha accolto il principio secondo cui per tali aziende non sussisterebbero i requisiti che ne legittimano l’esclusione. Motivi prudenziali e nelle more della esecutività della sentenza che ha accolto la posizione della </w:t>
      </w:r>
      <w:r w:rsidR="002A4703">
        <w:rPr>
          <w:rFonts w:ascii="Arial" w:hAnsi="Arial" w:cs="Arial"/>
          <w:bCs/>
          <w:snapToGrid w:val="0"/>
          <w:sz w:val="20"/>
        </w:rPr>
        <w:t>s</w:t>
      </w:r>
      <w:r w:rsidRPr="007C07CE">
        <w:rPr>
          <w:rFonts w:ascii="Arial" w:hAnsi="Arial" w:cs="Arial"/>
          <w:bCs/>
          <w:snapToGrid w:val="0"/>
          <w:sz w:val="20"/>
        </w:rPr>
        <w:t>ocietà</w:t>
      </w:r>
      <w:r w:rsidR="002A4703">
        <w:rPr>
          <w:rFonts w:ascii="Arial" w:hAnsi="Arial" w:cs="Arial"/>
          <w:bCs/>
          <w:snapToGrid w:val="0"/>
          <w:sz w:val="20"/>
        </w:rPr>
        <w:t xml:space="preserve"> controllata</w:t>
      </w:r>
      <w:r w:rsidRPr="007C07CE">
        <w:rPr>
          <w:rFonts w:ascii="Arial" w:hAnsi="Arial" w:cs="Arial"/>
          <w:bCs/>
          <w:snapToGrid w:val="0"/>
          <w:sz w:val="20"/>
        </w:rPr>
        <w:t>, hanno indotto a far rimanere accantonato l’importo di 464</w:t>
      </w:r>
      <w:r w:rsidRPr="007C07CE">
        <w:rPr>
          <w:rFonts w:ascii="Arial" w:hAnsi="Arial" w:cs="Arial"/>
          <w:snapToGrid w:val="0"/>
          <w:sz w:val="20"/>
        </w:rPr>
        <w:t>€/000</w:t>
      </w:r>
      <w:r w:rsidRPr="007C07CE">
        <w:rPr>
          <w:rFonts w:ascii="Arial" w:hAnsi="Arial" w:cs="Arial"/>
          <w:bCs/>
          <w:snapToGrid w:val="0"/>
          <w:sz w:val="20"/>
        </w:rPr>
        <w:t>, costituente il fondo pari al risparmio fiscale conseguito in seguito all’utilizzo del beneficio del cuneo fiscale per l’anno d’imposta 2012. Si attendono gli sviluppi per liberare eventualmente il fondo accantonato e rilevare i relativi componenti positivi di reddito;</w:t>
      </w:r>
    </w:p>
    <w:p w14:paraId="716B3F4F" w14:textId="306A064B" w:rsidR="007C07CE" w:rsidRPr="007C07CE" w:rsidRDefault="007C07CE" w:rsidP="0049512E">
      <w:pPr>
        <w:widowControl w:val="0"/>
        <w:numPr>
          <w:ilvl w:val="0"/>
          <w:numId w:val="29"/>
        </w:numPr>
        <w:tabs>
          <w:tab w:val="left" w:pos="5147"/>
        </w:tabs>
        <w:spacing w:before="120" w:after="120"/>
        <w:jc w:val="both"/>
        <w:rPr>
          <w:rFonts w:ascii="Arial" w:hAnsi="Arial" w:cs="Arial"/>
          <w:bCs/>
          <w:snapToGrid w:val="0"/>
          <w:sz w:val="20"/>
        </w:rPr>
      </w:pPr>
      <w:r w:rsidRPr="007C07CE">
        <w:rPr>
          <w:rFonts w:ascii="Arial" w:hAnsi="Arial" w:cs="Arial"/>
          <w:bCs/>
          <w:snapToGrid w:val="0"/>
          <w:sz w:val="20"/>
        </w:rPr>
        <w:t xml:space="preserve">Permane nella voce in esame l’accantonamento effettuato nel 2017 per sanzioni ed interessi su debiti erariali non pagati a dicembre 2017 poiché entrati nella procedura concorsuale pari a 403 €/000 e in attesa degli sviluppi degli accordi con la Agenzia delle Entrate e della definizione congiunta la debenza erariale complessiva della </w:t>
      </w:r>
      <w:r w:rsidR="002A4703">
        <w:rPr>
          <w:rFonts w:ascii="Arial" w:hAnsi="Arial" w:cs="Arial"/>
          <w:bCs/>
          <w:snapToGrid w:val="0"/>
          <w:sz w:val="20"/>
        </w:rPr>
        <w:t>s</w:t>
      </w:r>
      <w:r w:rsidRPr="007C07CE">
        <w:rPr>
          <w:rFonts w:ascii="Arial" w:hAnsi="Arial" w:cs="Arial"/>
          <w:bCs/>
          <w:snapToGrid w:val="0"/>
          <w:sz w:val="20"/>
        </w:rPr>
        <w:t>ocietà</w:t>
      </w:r>
      <w:r w:rsidR="002A4703">
        <w:rPr>
          <w:rFonts w:ascii="Arial" w:hAnsi="Arial" w:cs="Arial"/>
          <w:bCs/>
          <w:snapToGrid w:val="0"/>
          <w:sz w:val="20"/>
        </w:rPr>
        <w:t xml:space="preserve"> controllata</w:t>
      </w:r>
      <w:r w:rsidRPr="007C07CE">
        <w:rPr>
          <w:rFonts w:ascii="Arial" w:hAnsi="Arial" w:cs="Arial"/>
          <w:bCs/>
          <w:snapToGrid w:val="0"/>
          <w:sz w:val="20"/>
        </w:rPr>
        <w:t>, termini e modalità di pagamento;</w:t>
      </w:r>
    </w:p>
    <w:p w14:paraId="3A68BF26" w14:textId="77777777" w:rsidR="007C07CE" w:rsidRPr="007C07CE" w:rsidRDefault="007C07CE" w:rsidP="0049512E">
      <w:pPr>
        <w:widowControl w:val="0"/>
        <w:numPr>
          <w:ilvl w:val="0"/>
          <w:numId w:val="29"/>
        </w:numPr>
        <w:tabs>
          <w:tab w:val="left" w:pos="5147"/>
        </w:tabs>
        <w:spacing w:before="120" w:after="120"/>
        <w:jc w:val="both"/>
        <w:rPr>
          <w:rFonts w:ascii="Arial" w:hAnsi="Arial" w:cs="Arial"/>
          <w:bCs/>
          <w:snapToGrid w:val="0"/>
          <w:sz w:val="20"/>
        </w:rPr>
      </w:pPr>
      <w:r w:rsidRPr="007C07CE">
        <w:rPr>
          <w:rFonts w:ascii="Arial" w:hAnsi="Arial" w:cs="Arial"/>
          <w:bCs/>
          <w:snapToGrid w:val="0"/>
          <w:sz w:val="20"/>
        </w:rPr>
        <w:t>L’importo di 5.362 €/000 è relativo alla stima della Tari e relative sanzioni per alcune annualità e in assenza di avvisi. Più precisamente sono stati accantonati:</w:t>
      </w:r>
    </w:p>
    <w:p w14:paraId="5F79DB9C" w14:textId="77777777" w:rsidR="007C07CE" w:rsidRPr="007C07CE" w:rsidRDefault="007C07CE" w:rsidP="007C07CE">
      <w:pPr>
        <w:widowControl w:val="0"/>
        <w:tabs>
          <w:tab w:val="left" w:pos="5147"/>
        </w:tabs>
        <w:spacing w:before="120" w:after="120"/>
        <w:ind w:left="567"/>
        <w:jc w:val="both"/>
        <w:rPr>
          <w:rFonts w:ascii="Arial" w:hAnsi="Arial" w:cs="Arial"/>
          <w:bCs/>
          <w:snapToGrid w:val="0"/>
          <w:sz w:val="20"/>
        </w:rPr>
      </w:pPr>
      <w:r w:rsidRPr="007C07CE">
        <w:rPr>
          <w:rFonts w:ascii="Arial" w:hAnsi="Arial" w:cs="Arial"/>
          <w:bCs/>
          <w:snapToGrid w:val="0"/>
          <w:sz w:val="20"/>
        </w:rPr>
        <w:t>-</w:t>
      </w:r>
      <w:r>
        <w:rPr>
          <w:rFonts w:ascii="Arial" w:hAnsi="Arial" w:cs="Arial"/>
          <w:bCs/>
          <w:snapToGrid w:val="0"/>
          <w:sz w:val="20"/>
        </w:rPr>
        <w:t xml:space="preserve"> </w:t>
      </w:r>
      <w:r w:rsidRPr="007C07CE">
        <w:rPr>
          <w:rFonts w:ascii="Arial" w:hAnsi="Arial" w:cs="Arial"/>
          <w:bCs/>
          <w:snapToGrid w:val="0"/>
          <w:sz w:val="20"/>
        </w:rPr>
        <w:t>698 €/000 per sanzioni Tari Comune di Napoli anno 2012;</w:t>
      </w:r>
    </w:p>
    <w:p w14:paraId="60EAE276" w14:textId="77777777" w:rsidR="007C07CE" w:rsidRPr="007C07CE" w:rsidRDefault="007C07CE" w:rsidP="007C07CE">
      <w:pPr>
        <w:widowControl w:val="0"/>
        <w:tabs>
          <w:tab w:val="left" w:pos="5147"/>
        </w:tabs>
        <w:spacing w:before="120" w:after="120"/>
        <w:ind w:left="567"/>
        <w:jc w:val="both"/>
        <w:rPr>
          <w:rFonts w:ascii="Arial" w:hAnsi="Arial" w:cs="Arial"/>
          <w:bCs/>
          <w:snapToGrid w:val="0"/>
          <w:sz w:val="20"/>
        </w:rPr>
      </w:pPr>
      <w:r w:rsidRPr="007C07CE">
        <w:rPr>
          <w:rFonts w:ascii="Arial" w:hAnsi="Arial" w:cs="Arial"/>
          <w:bCs/>
          <w:snapToGrid w:val="0"/>
          <w:sz w:val="20"/>
        </w:rPr>
        <w:t>-</w:t>
      </w:r>
      <w:r>
        <w:rPr>
          <w:rFonts w:ascii="Arial" w:hAnsi="Arial" w:cs="Arial"/>
          <w:bCs/>
          <w:snapToGrid w:val="0"/>
          <w:sz w:val="20"/>
        </w:rPr>
        <w:t xml:space="preserve"> </w:t>
      </w:r>
      <w:r w:rsidRPr="007C07CE">
        <w:rPr>
          <w:rFonts w:ascii="Arial" w:hAnsi="Arial" w:cs="Arial"/>
          <w:bCs/>
          <w:snapToGrid w:val="0"/>
          <w:sz w:val="20"/>
        </w:rPr>
        <w:t>57 €/000 per sanzioni Tari Comune di Portici;</w:t>
      </w:r>
    </w:p>
    <w:p w14:paraId="2DFEAD33" w14:textId="77777777" w:rsidR="007C07CE" w:rsidRPr="007C07CE" w:rsidRDefault="007C07CE" w:rsidP="007C07CE">
      <w:pPr>
        <w:widowControl w:val="0"/>
        <w:tabs>
          <w:tab w:val="left" w:pos="5147"/>
        </w:tabs>
        <w:spacing w:before="120" w:after="120"/>
        <w:ind w:left="709" w:hanging="142"/>
        <w:jc w:val="both"/>
        <w:rPr>
          <w:rFonts w:ascii="Arial" w:hAnsi="Arial" w:cs="Arial"/>
          <w:bCs/>
          <w:snapToGrid w:val="0"/>
          <w:sz w:val="20"/>
        </w:rPr>
      </w:pPr>
      <w:r w:rsidRPr="007C07CE">
        <w:rPr>
          <w:rFonts w:ascii="Arial" w:hAnsi="Arial" w:cs="Arial"/>
          <w:bCs/>
          <w:snapToGrid w:val="0"/>
          <w:sz w:val="20"/>
        </w:rPr>
        <w:t>-</w:t>
      </w:r>
      <w:r>
        <w:rPr>
          <w:rFonts w:ascii="Arial" w:hAnsi="Arial" w:cs="Arial"/>
          <w:bCs/>
          <w:snapToGrid w:val="0"/>
          <w:sz w:val="20"/>
        </w:rPr>
        <w:t xml:space="preserve"> </w:t>
      </w:r>
      <w:r w:rsidRPr="007C07CE">
        <w:rPr>
          <w:rFonts w:ascii="Arial" w:hAnsi="Arial" w:cs="Arial"/>
          <w:bCs/>
          <w:snapToGrid w:val="0"/>
          <w:sz w:val="20"/>
        </w:rPr>
        <w:t xml:space="preserve">4.607 euro/000 per tari (oltre sanzioni ed </w:t>
      </w:r>
      <w:r w:rsidR="00E33E27" w:rsidRPr="007C07CE">
        <w:rPr>
          <w:rFonts w:ascii="Arial" w:hAnsi="Arial" w:cs="Arial"/>
          <w:bCs/>
          <w:snapToGrid w:val="0"/>
          <w:sz w:val="20"/>
        </w:rPr>
        <w:t>interessi)</w:t>
      </w:r>
      <w:r w:rsidRPr="007C07CE">
        <w:rPr>
          <w:rFonts w:ascii="Arial" w:hAnsi="Arial" w:cs="Arial"/>
          <w:bCs/>
          <w:snapToGrid w:val="0"/>
          <w:sz w:val="20"/>
        </w:rPr>
        <w:t xml:space="preserve"> ex Metronapoli, anni 2013-2017, in assenza avvisi pervenuti</w:t>
      </w:r>
    </w:p>
    <w:p w14:paraId="1E473953" w14:textId="77777777" w:rsidR="007C07CE" w:rsidRPr="007C07CE" w:rsidRDefault="007C07CE" w:rsidP="007C07CE">
      <w:pPr>
        <w:widowControl w:val="0"/>
        <w:tabs>
          <w:tab w:val="left" w:pos="5147"/>
        </w:tabs>
        <w:spacing w:before="120" w:after="120"/>
        <w:jc w:val="both"/>
        <w:rPr>
          <w:rFonts w:ascii="Arial" w:hAnsi="Arial" w:cs="Arial"/>
          <w:bCs/>
          <w:snapToGrid w:val="0"/>
          <w:sz w:val="20"/>
        </w:rPr>
      </w:pPr>
      <w:r w:rsidRPr="007C07CE">
        <w:rPr>
          <w:rFonts w:ascii="Arial" w:hAnsi="Arial" w:cs="Arial"/>
          <w:bCs/>
          <w:snapToGrid w:val="0"/>
          <w:sz w:val="20"/>
        </w:rPr>
        <w:t>L’importo dovuto per la Tari e oggetto di avvisi regolarmente emessi è evidenziato alla voce “debiti tributari”.</w:t>
      </w:r>
    </w:p>
    <w:p w14:paraId="74231AFD" w14:textId="2569E250" w:rsidR="00C261A6" w:rsidRDefault="00541EEF" w:rsidP="002D4D1D">
      <w:pPr>
        <w:widowControl w:val="0"/>
        <w:tabs>
          <w:tab w:val="left" w:pos="5147"/>
        </w:tabs>
        <w:spacing w:before="120" w:after="120"/>
        <w:jc w:val="both"/>
        <w:rPr>
          <w:rFonts w:ascii="Arial" w:hAnsi="Arial" w:cs="Arial"/>
          <w:snapToGrid w:val="0"/>
          <w:sz w:val="20"/>
        </w:rPr>
      </w:pPr>
      <w:r>
        <w:rPr>
          <w:rFonts w:ascii="Arial" w:hAnsi="Arial" w:cs="Arial"/>
          <w:snapToGrid w:val="0"/>
          <w:sz w:val="20"/>
        </w:rPr>
        <w:t xml:space="preserve">La </w:t>
      </w:r>
      <w:r w:rsidR="00EE4AF0">
        <w:rPr>
          <w:rFonts w:ascii="Arial" w:hAnsi="Arial" w:cs="Arial"/>
          <w:snapToGrid w:val="0"/>
          <w:sz w:val="20"/>
        </w:rPr>
        <w:t xml:space="preserve">voce </w:t>
      </w:r>
      <w:r>
        <w:rPr>
          <w:rFonts w:ascii="Arial" w:hAnsi="Arial" w:cs="Arial"/>
          <w:snapToGrid w:val="0"/>
          <w:sz w:val="20"/>
        </w:rPr>
        <w:t xml:space="preserve">“altri fondi” </w:t>
      </w:r>
      <w:r w:rsidR="00EE4AF0">
        <w:rPr>
          <w:rFonts w:ascii="Arial" w:hAnsi="Arial" w:cs="Arial"/>
          <w:snapToGrid w:val="0"/>
          <w:sz w:val="20"/>
        </w:rPr>
        <w:t xml:space="preserve">accoglie </w:t>
      </w:r>
      <w:r w:rsidR="00FA68F4">
        <w:rPr>
          <w:rFonts w:ascii="Arial" w:hAnsi="Arial" w:cs="Arial"/>
          <w:snapToGrid w:val="0"/>
          <w:sz w:val="20"/>
        </w:rPr>
        <w:t xml:space="preserve">gli </w:t>
      </w:r>
      <w:r w:rsidR="00EE4AF0">
        <w:rPr>
          <w:rFonts w:ascii="Arial" w:hAnsi="Arial" w:cs="Arial"/>
          <w:snapToGrid w:val="0"/>
          <w:sz w:val="20"/>
        </w:rPr>
        <w:t>accantonament</w:t>
      </w:r>
      <w:r w:rsidR="00FA68F4">
        <w:rPr>
          <w:rFonts w:ascii="Arial" w:hAnsi="Arial" w:cs="Arial"/>
          <w:snapToGrid w:val="0"/>
          <w:sz w:val="20"/>
        </w:rPr>
        <w:t>i</w:t>
      </w:r>
      <w:r w:rsidR="00EE4AF0">
        <w:rPr>
          <w:rFonts w:ascii="Arial" w:hAnsi="Arial" w:cs="Arial"/>
          <w:snapToGrid w:val="0"/>
          <w:sz w:val="20"/>
        </w:rPr>
        <w:t xml:space="preserve"> per rischi </w:t>
      </w:r>
      <w:r w:rsidR="003B56EF">
        <w:rPr>
          <w:rFonts w:ascii="Arial" w:hAnsi="Arial" w:cs="Arial"/>
          <w:snapToGrid w:val="0"/>
          <w:sz w:val="20"/>
        </w:rPr>
        <w:t>e oneri relativi</w:t>
      </w:r>
      <w:r w:rsidR="00203A74">
        <w:rPr>
          <w:rFonts w:ascii="Arial" w:hAnsi="Arial" w:cs="Arial"/>
          <w:snapToGrid w:val="0"/>
          <w:sz w:val="20"/>
        </w:rPr>
        <w:t xml:space="preserve"> a:</w:t>
      </w:r>
    </w:p>
    <w:p w14:paraId="102EAD87" w14:textId="67331FD9" w:rsidR="00E33E27" w:rsidRDefault="00CE6109" w:rsidP="002D4D1D">
      <w:pPr>
        <w:widowControl w:val="0"/>
        <w:tabs>
          <w:tab w:val="left" w:pos="5147"/>
        </w:tabs>
        <w:spacing w:before="120" w:after="120"/>
        <w:jc w:val="both"/>
        <w:rPr>
          <w:rFonts w:ascii="Arial" w:hAnsi="Arial" w:cs="Arial"/>
          <w:snapToGrid w:val="0"/>
          <w:sz w:val="20"/>
        </w:rPr>
      </w:pPr>
      <w:r>
        <w:rPr>
          <w:noProof/>
        </w:rPr>
        <w:drawing>
          <wp:inline distT="0" distB="0" distL="0" distR="0" wp14:anchorId="266E6409" wp14:editId="727E0282">
            <wp:extent cx="5400675" cy="141922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419225"/>
                    </a:xfrm>
                    <a:prstGeom prst="rect">
                      <a:avLst/>
                    </a:prstGeom>
                    <a:noFill/>
                    <a:ln>
                      <a:noFill/>
                    </a:ln>
                  </pic:spPr>
                </pic:pic>
              </a:graphicData>
            </a:graphic>
          </wp:inline>
        </w:drawing>
      </w:r>
    </w:p>
    <w:p w14:paraId="1588197A" w14:textId="77777777" w:rsidR="00FA68F4" w:rsidRPr="00CE6109" w:rsidRDefault="00FA68F4" w:rsidP="005144FC">
      <w:pPr>
        <w:widowControl w:val="0"/>
        <w:tabs>
          <w:tab w:val="left" w:pos="5147"/>
        </w:tabs>
        <w:spacing w:before="120" w:after="120"/>
        <w:jc w:val="both"/>
        <w:rPr>
          <w:rFonts w:ascii="Arial" w:hAnsi="Arial" w:cs="Arial"/>
          <w:bCs/>
          <w:snapToGrid w:val="0"/>
          <w:sz w:val="20"/>
        </w:rPr>
      </w:pPr>
      <w:r w:rsidRPr="005144FC">
        <w:rPr>
          <w:rFonts w:ascii="Arial" w:hAnsi="Arial" w:cs="Arial"/>
          <w:bCs/>
          <w:snapToGrid w:val="0"/>
          <w:sz w:val="20"/>
        </w:rPr>
        <w:t>L’importo più significativo degli altri fondi si riferisce essenzialmente al contenzioso del personale e gli importi attengono quasi esclusivamente alla nostra Controllata.</w:t>
      </w:r>
      <w:r>
        <w:rPr>
          <w:rFonts w:ascii="Arial" w:hAnsi="Arial" w:cs="Arial"/>
          <w:bCs/>
          <w:snapToGrid w:val="0"/>
          <w:sz w:val="20"/>
        </w:rPr>
        <w:t xml:space="preserve"> Di seguito si riporta un </w:t>
      </w:r>
      <w:r>
        <w:rPr>
          <w:rFonts w:ascii="Arial" w:hAnsi="Arial" w:cs="Arial"/>
          <w:bCs/>
          <w:snapToGrid w:val="0"/>
          <w:sz w:val="20"/>
        </w:rPr>
        <w:lastRenderedPageBreak/>
        <w:t>dettaglio dei vari fondi:</w:t>
      </w:r>
    </w:p>
    <w:p w14:paraId="2146118C" w14:textId="7919A40F" w:rsidR="005144FC" w:rsidRPr="00CE6109" w:rsidRDefault="005144FC" w:rsidP="005144FC">
      <w:pPr>
        <w:widowControl w:val="0"/>
        <w:tabs>
          <w:tab w:val="left" w:pos="5147"/>
        </w:tabs>
        <w:spacing w:before="120" w:after="120"/>
        <w:jc w:val="both"/>
        <w:rPr>
          <w:rFonts w:ascii="Arial" w:hAnsi="Arial" w:cs="Arial"/>
          <w:b/>
          <w:bCs/>
          <w:snapToGrid w:val="0"/>
          <w:sz w:val="20"/>
        </w:rPr>
      </w:pPr>
      <w:r w:rsidRPr="005144FC">
        <w:rPr>
          <w:rFonts w:ascii="Arial" w:hAnsi="Arial" w:cs="Arial"/>
          <w:b/>
          <w:bCs/>
          <w:snapToGrid w:val="0"/>
          <w:sz w:val="20"/>
        </w:rPr>
        <w:t>Fondo rischi contenzioso personale</w:t>
      </w:r>
      <w:r w:rsidRPr="005144FC">
        <w:rPr>
          <w:rFonts w:ascii="Arial" w:hAnsi="Arial" w:cs="Arial"/>
          <w:bCs/>
          <w:snapToGrid w:val="0"/>
          <w:sz w:val="20"/>
        </w:rPr>
        <w:t xml:space="preserve">: </w:t>
      </w:r>
    </w:p>
    <w:p w14:paraId="181BF27E" w14:textId="5C642022" w:rsidR="00ED41BE" w:rsidRDefault="00E33E27" w:rsidP="00AC4246">
      <w:pPr>
        <w:widowControl w:val="0"/>
        <w:tabs>
          <w:tab w:val="left" w:pos="5147"/>
        </w:tabs>
        <w:spacing w:before="120" w:after="120"/>
        <w:jc w:val="both"/>
        <w:rPr>
          <w:rFonts w:ascii="Arial" w:hAnsi="Arial" w:cs="Arial"/>
          <w:bCs/>
          <w:snapToGrid w:val="0"/>
          <w:sz w:val="20"/>
        </w:rPr>
      </w:pPr>
      <w:r>
        <w:rPr>
          <w:rFonts w:ascii="Arial" w:hAnsi="Arial" w:cs="Arial"/>
          <w:bCs/>
          <w:snapToGrid w:val="0"/>
          <w:sz w:val="20"/>
        </w:rPr>
        <w:t xml:space="preserve">Detto </w:t>
      </w:r>
      <w:r w:rsidRPr="00E33E27">
        <w:rPr>
          <w:rFonts w:ascii="Arial" w:hAnsi="Arial" w:cs="Arial"/>
          <w:bCs/>
          <w:snapToGrid w:val="0"/>
          <w:sz w:val="20"/>
        </w:rPr>
        <w:t>fondo è stato utilizzato per 360 €/000 nel 2019. È stato effettuato un ulteriore accantonamento di 926 €/000 per adeguare il fondo medesimo a nuove ipotesi di soccombenza verificatesi nell’esercizio, ed è stato rilasciato, a seguito di cause vinte per cui il fondo non aveva pi</w:t>
      </w:r>
      <w:r w:rsidR="00750352">
        <w:rPr>
          <w:rFonts w:ascii="Arial" w:hAnsi="Arial" w:cs="Arial"/>
          <w:bCs/>
          <w:snapToGrid w:val="0"/>
          <w:sz w:val="20"/>
        </w:rPr>
        <w:t>ù</w:t>
      </w:r>
      <w:r w:rsidRPr="00E33E27">
        <w:rPr>
          <w:rFonts w:ascii="Arial" w:hAnsi="Arial" w:cs="Arial"/>
          <w:bCs/>
          <w:snapToGrid w:val="0"/>
          <w:sz w:val="20"/>
        </w:rPr>
        <w:t xml:space="preserve"> ragione di sussistere, per 1.111 €/000. L’importo più significativo contabilizzato negli esercizi precedenti riguarda il contenzioso proposto dall’Inps avente ad oggetto l’annullamento della sentenza della Corte di Appello di Napoli depositata in data 24 novembre 2010, con cui </w:t>
      </w:r>
      <w:r w:rsidR="00722B36">
        <w:rPr>
          <w:rFonts w:ascii="Arial" w:hAnsi="Arial" w:cs="Arial"/>
          <w:bCs/>
          <w:snapToGrid w:val="0"/>
          <w:sz w:val="20"/>
        </w:rPr>
        <w:t>il Gruppo</w:t>
      </w:r>
      <w:r w:rsidR="002A4703">
        <w:rPr>
          <w:rFonts w:ascii="Arial" w:hAnsi="Arial" w:cs="Arial"/>
          <w:bCs/>
          <w:snapToGrid w:val="0"/>
          <w:sz w:val="20"/>
        </w:rPr>
        <w:t xml:space="preserve"> </w:t>
      </w:r>
      <w:r w:rsidRPr="00E33E27">
        <w:rPr>
          <w:rFonts w:ascii="Arial" w:hAnsi="Arial" w:cs="Arial"/>
          <w:bCs/>
          <w:snapToGrid w:val="0"/>
          <w:sz w:val="20"/>
        </w:rPr>
        <w:t xml:space="preserve">si è vista accertare l’insussistenza dell’obbligo di pagare gli importi contenuti negli avvisi bonari inoltrati dall’Inps, a titolo di recupero di agevolazioni contributive fruite nel periodo 1997-2001 per le assunzioni e trasformazioni con contratti di formazione e lavoro. Difatti, a fronte di ciò </w:t>
      </w:r>
      <w:r w:rsidR="002A4703">
        <w:rPr>
          <w:rFonts w:ascii="Arial" w:hAnsi="Arial" w:cs="Arial"/>
          <w:bCs/>
          <w:snapToGrid w:val="0"/>
          <w:sz w:val="20"/>
        </w:rPr>
        <w:t>il Gruppo</w:t>
      </w:r>
      <w:r w:rsidRPr="00E33E27">
        <w:rPr>
          <w:rFonts w:ascii="Arial" w:hAnsi="Arial" w:cs="Arial"/>
          <w:bCs/>
          <w:snapToGrid w:val="0"/>
          <w:sz w:val="20"/>
        </w:rPr>
        <w:t xml:space="preserve"> ha iscritto nel bilancio al 31 dicembre 2017, nella voce “Fondi rischi ed oneri” l’importo di euro 9,</w:t>
      </w:r>
      <w:r w:rsidR="00722B36">
        <w:rPr>
          <w:rFonts w:ascii="Arial" w:hAnsi="Arial" w:cs="Arial"/>
          <w:bCs/>
          <w:snapToGrid w:val="0"/>
          <w:sz w:val="20"/>
        </w:rPr>
        <w:t>695</w:t>
      </w:r>
      <w:r w:rsidR="00722B36" w:rsidRPr="00E33E27">
        <w:rPr>
          <w:rFonts w:ascii="Arial" w:hAnsi="Arial" w:cs="Arial"/>
          <w:bCs/>
          <w:snapToGrid w:val="0"/>
          <w:sz w:val="20"/>
        </w:rPr>
        <w:t xml:space="preserve"> </w:t>
      </w:r>
      <w:r w:rsidRPr="00E33E27">
        <w:rPr>
          <w:rFonts w:ascii="Arial" w:hAnsi="Arial" w:cs="Arial"/>
          <w:bCs/>
          <w:snapToGrid w:val="0"/>
          <w:sz w:val="20"/>
        </w:rPr>
        <w:t xml:space="preserve">milioni. L’importo è ascrivibile ad un cambio di orientamento della giurisprudenza in merito ad una cartella esattoriale notificata dalla Inps avverso l’Azienda, ingiungendo la restituzione di contributi maturati sui contratti formazione lavoro. </w:t>
      </w:r>
      <w:r w:rsidR="00750352" w:rsidRPr="00750352">
        <w:rPr>
          <w:rFonts w:ascii="Arial" w:hAnsi="Arial" w:cs="Arial"/>
          <w:bCs/>
          <w:snapToGrid w:val="0"/>
          <w:sz w:val="20"/>
        </w:rPr>
        <w:t>L’importo del fondo al 31 dicembre 2019 relativo a tale contenzios</w:t>
      </w:r>
      <w:r w:rsidR="00750352">
        <w:rPr>
          <w:rFonts w:ascii="Arial" w:hAnsi="Arial" w:cs="Arial"/>
          <w:bCs/>
          <w:snapToGrid w:val="0"/>
          <w:sz w:val="20"/>
        </w:rPr>
        <w:t xml:space="preserve">o ha un valore di 9.695 €/000. </w:t>
      </w:r>
      <w:r w:rsidRPr="00E33E27">
        <w:rPr>
          <w:rFonts w:ascii="Arial" w:hAnsi="Arial" w:cs="Arial"/>
          <w:bCs/>
          <w:snapToGrid w:val="0"/>
          <w:sz w:val="20"/>
        </w:rPr>
        <w:t>I dati esaminati confermano la tendenza discendente delle notifiche dei ricorsi giudiziari negli ultimi due anni, risultato dei numerosi percorsi conciliativi attivati e della battuta di arresto di alcuni filoni di causa. Tali risultati sono in linea con l’obiettivo di ridurre i volumi delle vertenze correlate ai filoni in modo da poter prestare la giusta attenzione sui veri “focolai di rischio” contenzioso quali, ad esempio, le vertenze per mansioni superiori ovvero le richieste di risarcimento danni a vario titolo</w:t>
      </w:r>
      <w:r w:rsidR="00722B36">
        <w:rPr>
          <w:rFonts w:ascii="Arial" w:hAnsi="Arial" w:cs="Arial"/>
          <w:bCs/>
          <w:snapToGrid w:val="0"/>
          <w:sz w:val="20"/>
        </w:rPr>
        <w:t>.</w:t>
      </w:r>
    </w:p>
    <w:p w14:paraId="03327BF5" w14:textId="735755BA" w:rsidR="004B4FC4" w:rsidRPr="004B4FC4" w:rsidRDefault="004B4FC4" w:rsidP="004B4FC4">
      <w:pPr>
        <w:pStyle w:val="Corpotesto"/>
        <w:widowControl w:val="0"/>
        <w:spacing w:before="120" w:after="120"/>
        <w:rPr>
          <w:rFonts w:ascii="Arial" w:hAnsi="Arial" w:cs="Arial"/>
          <w:i/>
          <w:sz w:val="20"/>
        </w:rPr>
      </w:pPr>
      <w:r w:rsidRPr="004B4FC4">
        <w:rPr>
          <w:rFonts w:ascii="Arial" w:hAnsi="Arial" w:cs="Arial"/>
          <w:b/>
          <w:bCs/>
          <w:sz w:val="20"/>
        </w:rPr>
        <w:t>Fondo rischi contenzioso civile</w:t>
      </w:r>
      <w:r w:rsidRPr="004B4FC4">
        <w:rPr>
          <w:rFonts w:ascii="Arial" w:hAnsi="Arial" w:cs="Arial"/>
          <w:sz w:val="20"/>
        </w:rPr>
        <w:t xml:space="preserve">: L’importo principale che componeva il fondo medesimo fino allo scorso esercizio è pari a 9.098 </w:t>
      </w:r>
      <w:r w:rsidR="00FA68F4">
        <w:rPr>
          <w:rFonts w:ascii="Arial" w:hAnsi="Arial" w:cs="Arial"/>
          <w:i/>
          <w:sz w:val="20"/>
        </w:rPr>
        <w:t>€/000</w:t>
      </w:r>
      <w:r w:rsidRPr="004B4FC4">
        <w:rPr>
          <w:rFonts w:ascii="Arial" w:hAnsi="Arial" w:cs="Arial"/>
          <w:sz w:val="20"/>
        </w:rPr>
        <w:t xml:space="preserve">, relativo al rischio allora stimato legato al contenzioso con la Regione sulla base della sentenza di cassazione n. 4469/2018, quantificato dai legali dell’azienda in circa €/milioni 9, nel precedente bilancio. Nel dettaglio la </w:t>
      </w:r>
      <w:r w:rsidR="002A4703">
        <w:rPr>
          <w:rFonts w:ascii="Arial" w:hAnsi="Arial" w:cs="Arial"/>
          <w:sz w:val="20"/>
        </w:rPr>
        <w:t>s</w:t>
      </w:r>
      <w:r w:rsidRPr="004B4FC4">
        <w:rPr>
          <w:rFonts w:ascii="Arial" w:hAnsi="Arial" w:cs="Arial"/>
          <w:sz w:val="20"/>
        </w:rPr>
        <w:t xml:space="preserve">ocietà </w:t>
      </w:r>
      <w:r w:rsidR="002A4703">
        <w:rPr>
          <w:rFonts w:ascii="Arial" w:hAnsi="Arial" w:cs="Arial"/>
          <w:bCs/>
          <w:sz w:val="20"/>
        </w:rPr>
        <w:t>controllata</w:t>
      </w:r>
      <w:r w:rsidR="002A4703" w:rsidRPr="004B4FC4">
        <w:rPr>
          <w:rFonts w:ascii="Arial" w:hAnsi="Arial" w:cs="Arial"/>
          <w:sz w:val="20"/>
        </w:rPr>
        <w:t xml:space="preserve"> </w:t>
      </w:r>
      <w:r w:rsidRPr="004B4FC4">
        <w:rPr>
          <w:rFonts w:ascii="Arial" w:hAnsi="Arial" w:cs="Arial"/>
          <w:sz w:val="20"/>
        </w:rPr>
        <w:t xml:space="preserve">aveva in essere un articolato contenzioso nei confronti della Regione Campania, avente ad oggetto lo storno dei contributi in conto esercizio L.R. 16/83 e le coperture di disavanzo L. 194/98, per le annualità 1994-1997, operato negli anni 2001-2005 dalla </w:t>
      </w:r>
      <w:r w:rsidR="002A4703">
        <w:rPr>
          <w:rFonts w:ascii="Arial" w:hAnsi="Arial" w:cs="Arial"/>
          <w:sz w:val="20"/>
        </w:rPr>
        <w:t>s</w:t>
      </w:r>
      <w:r w:rsidRPr="004B4FC4">
        <w:rPr>
          <w:rFonts w:ascii="Arial" w:hAnsi="Arial" w:cs="Arial"/>
          <w:sz w:val="20"/>
        </w:rPr>
        <w:t>ocietà</w:t>
      </w:r>
      <w:r w:rsidR="002A4703">
        <w:rPr>
          <w:rFonts w:ascii="Arial" w:hAnsi="Arial" w:cs="Arial"/>
          <w:sz w:val="20"/>
        </w:rPr>
        <w:t xml:space="preserve"> </w:t>
      </w:r>
      <w:r w:rsidR="002A4703">
        <w:rPr>
          <w:rFonts w:ascii="Arial" w:hAnsi="Arial" w:cs="Arial"/>
          <w:bCs/>
          <w:sz w:val="20"/>
        </w:rPr>
        <w:t>controllata</w:t>
      </w:r>
      <w:r w:rsidRPr="004B4FC4">
        <w:rPr>
          <w:rFonts w:ascii="Arial" w:hAnsi="Arial" w:cs="Arial"/>
          <w:sz w:val="20"/>
        </w:rPr>
        <w:t>. Tale contenzioso ha visto l’Azienda Napoletana Mobilità S.p.A. vittoriosa nei primi due gradi di giudizio, tuttavia a seguito di ricorso in Cassazione da parte della controparte, la Suprema Corte con accoglimento di merito rinviava alla Corte di Appello di competenza.  L’importo inizialmente accantonato a fronte di una possibile soccombenza fu stimato in 9.098</w:t>
      </w:r>
      <w:r w:rsidRPr="004B4FC4">
        <w:rPr>
          <w:rFonts w:ascii="Arial" w:hAnsi="Arial" w:cs="Arial"/>
          <w:i/>
          <w:sz w:val="20"/>
        </w:rPr>
        <w:t xml:space="preserve"> </w:t>
      </w:r>
      <w:r w:rsidR="00FA68F4">
        <w:rPr>
          <w:rFonts w:ascii="Arial" w:hAnsi="Arial" w:cs="Arial"/>
          <w:i/>
          <w:sz w:val="20"/>
        </w:rPr>
        <w:t>€/000</w:t>
      </w:r>
    </w:p>
    <w:p w14:paraId="42CA119D" w14:textId="6F9F171A" w:rsidR="004B4FC4" w:rsidRPr="004B4FC4" w:rsidRDefault="004B4FC4" w:rsidP="004B4FC4">
      <w:pPr>
        <w:pStyle w:val="Corpotesto"/>
        <w:widowControl w:val="0"/>
        <w:spacing w:before="120" w:after="120"/>
        <w:rPr>
          <w:rFonts w:ascii="Arial" w:hAnsi="Arial" w:cs="Arial"/>
          <w:sz w:val="20"/>
        </w:rPr>
      </w:pPr>
      <w:r w:rsidRPr="004B4FC4">
        <w:rPr>
          <w:rFonts w:ascii="Arial" w:hAnsi="Arial" w:cs="Arial"/>
          <w:sz w:val="20"/>
        </w:rPr>
        <w:t>Nel 2020 la sentenza 1814 della Corte di appello ha accolto integralmente la tesi della Regione Campania, con conseguente riforma del capo 1 della sentenza 1341/2011, ritenendo che all’atto della acquisizione della documentazione a consuntivo, i contributi</w:t>
      </w:r>
      <w:r w:rsidRPr="004B4FC4">
        <w:rPr>
          <w:rFonts w:ascii="Arial" w:hAnsi="Arial" w:cs="Arial"/>
          <w:b/>
          <w:bCs/>
          <w:sz w:val="20"/>
        </w:rPr>
        <w:t xml:space="preserve"> </w:t>
      </w:r>
      <w:r w:rsidRPr="00E76607">
        <w:rPr>
          <w:rFonts w:ascii="Arial" w:hAnsi="Arial" w:cs="Arial"/>
          <w:sz w:val="20"/>
        </w:rPr>
        <w:t>ex L. 151/81 sono risultati indebiti per l’importo di 51.310</w:t>
      </w:r>
      <w:r w:rsidRPr="004B4FC4">
        <w:rPr>
          <w:rFonts w:ascii="Arial" w:hAnsi="Arial" w:cs="Arial"/>
          <w:i/>
          <w:sz w:val="20"/>
        </w:rPr>
        <w:t xml:space="preserve"> </w:t>
      </w:r>
      <w:r w:rsidR="00FA68F4">
        <w:rPr>
          <w:rFonts w:ascii="Arial" w:hAnsi="Arial" w:cs="Arial"/>
          <w:i/>
          <w:sz w:val="20"/>
        </w:rPr>
        <w:t>€/000</w:t>
      </w:r>
      <w:r w:rsidRPr="004B4FC4">
        <w:rPr>
          <w:rFonts w:ascii="Arial" w:hAnsi="Arial" w:cs="Arial"/>
          <w:i/>
          <w:sz w:val="20"/>
        </w:rPr>
        <w:t xml:space="preserve"> </w:t>
      </w:r>
      <w:r w:rsidRPr="004B4FC4">
        <w:rPr>
          <w:rFonts w:ascii="Arial" w:hAnsi="Arial" w:cs="Arial"/>
          <w:sz w:val="20"/>
        </w:rPr>
        <w:t>e detta somma puo’ essere chiesta</w:t>
      </w:r>
      <w:r w:rsidRPr="004B4FC4">
        <w:rPr>
          <w:rFonts w:ascii="Arial" w:hAnsi="Arial" w:cs="Arial"/>
          <w:b/>
          <w:bCs/>
          <w:sz w:val="20"/>
        </w:rPr>
        <w:t xml:space="preserve"> </w:t>
      </w:r>
      <w:r w:rsidRPr="004B4FC4">
        <w:rPr>
          <w:rFonts w:ascii="Arial" w:hAnsi="Arial" w:cs="Arial"/>
          <w:sz w:val="20"/>
        </w:rPr>
        <w:t>in ripetizione dalla Regione Campania. È stato invece confermato il secondo capo della sentenza 1341/2011 che condannò la Regione Campania al pagamento della somma di 48.199</w:t>
      </w:r>
      <w:r w:rsidRPr="004B4FC4">
        <w:rPr>
          <w:rFonts w:ascii="Arial" w:hAnsi="Arial" w:cs="Arial"/>
          <w:i/>
          <w:sz w:val="20"/>
        </w:rPr>
        <w:t xml:space="preserve"> </w:t>
      </w:r>
      <w:r w:rsidR="00FA68F4">
        <w:rPr>
          <w:rFonts w:ascii="Arial" w:hAnsi="Arial" w:cs="Arial"/>
          <w:i/>
          <w:sz w:val="20"/>
        </w:rPr>
        <w:t>€/000</w:t>
      </w:r>
      <w:r w:rsidRPr="004B4FC4">
        <w:rPr>
          <w:rFonts w:ascii="Arial" w:hAnsi="Arial" w:cs="Arial"/>
          <w:sz w:val="20"/>
        </w:rPr>
        <w:t xml:space="preserve">. ANM ha provveduto all’accantonamento del rischio pari alla differenza tra 51.310 </w:t>
      </w:r>
      <w:r w:rsidR="00FA68F4">
        <w:rPr>
          <w:rFonts w:ascii="Arial" w:hAnsi="Arial" w:cs="Arial"/>
          <w:i/>
          <w:sz w:val="20"/>
        </w:rPr>
        <w:t>€/000</w:t>
      </w:r>
      <w:r w:rsidRPr="004B4FC4">
        <w:rPr>
          <w:rFonts w:ascii="Arial" w:hAnsi="Arial" w:cs="Arial"/>
          <w:i/>
          <w:sz w:val="20"/>
        </w:rPr>
        <w:t xml:space="preserve"> </w:t>
      </w:r>
      <w:r w:rsidRPr="004B4FC4">
        <w:rPr>
          <w:rFonts w:ascii="Arial" w:hAnsi="Arial" w:cs="Arial"/>
          <w:sz w:val="20"/>
        </w:rPr>
        <w:t xml:space="preserve">e l’importo già accantonato di 9.098 </w:t>
      </w:r>
      <w:r w:rsidR="00FA68F4">
        <w:rPr>
          <w:rFonts w:ascii="Arial" w:hAnsi="Arial" w:cs="Arial"/>
          <w:i/>
          <w:sz w:val="20"/>
        </w:rPr>
        <w:t>€/000</w:t>
      </w:r>
      <w:r w:rsidRPr="004B4FC4">
        <w:rPr>
          <w:rFonts w:ascii="Arial" w:hAnsi="Arial" w:cs="Arial"/>
          <w:i/>
          <w:sz w:val="20"/>
        </w:rPr>
        <w:t xml:space="preserve"> </w:t>
      </w:r>
      <w:r w:rsidRPr="004B4FC4">
        <w:rPr>
          <w:rFonts w:ascii="Arial" w:hAnsi="Arial" w:cs="Arial"/>
          <w:sz w:val="20"/>
        </w:rPr>
        <w:t xml:space="preserve">e in misura del 62,7%, percentuale di soddisfo dei creditori chirografari di cui al piano concordatario. Alla somma sono stati aggiunti interessi calcolati a far data dalla citazione della Regione Campania del 10/10/2008 alla data di accesso al concordato del 22/12/2017, data che segna l’in eseguibilità della sentenza. Gli interessi calcolati sono pari a 6.657 </w:t>
      </w:r>
      <w:r w:rsidR="00FA68F4">
        <w:rPr>
          <w:rFonts w:ascii="Arial" w:hAnsi="Arial" w:cs="Arial"/>
          <w:i/>
          <w:sz w:val="20"/>
        </w:rPr>
        <w:t>€/000</w:t>
      </w:r>
      <w:r w:rsidRPr="004B4FC4">
        <w:rPr>
          <w:rFonts w:ascii="Arial" w:hAnsi="Arial" w:cs="Arial"/>
          <w:i/>
          <w:sz w:val="20"/>
        </w:rPr>
        <w:t>,</w:t>
      </w:r>
      <w:r w:rsidRPr="004B4FC4">
        <w:rPr>
          <w:rFonts w:ascii="Arial" w:hAnsi="Arial" w:cs="Arial"/>
          <w:sz w:val="20"/>
        </w:rPr>
        <w:t xml:space="preserve"> che abbattuti in misura del 62,7%, diventano pari a 4.173 </w:t>
      </w:r>
      <w:r w:rsidR="00FA68F4">
        <w:rPr>
          <w:rFonts w:ascii="Arial" w:hAnsi="Arial" w:cs="Arial"/>
          <w:i/>
          <w:sz w:val="20"/>
        </w:rPr>
        <w:t>€/000</w:t>
      </w:r>
      <w:r w:rsidRPr="004B4FC4">
        <w:rPr>
          <w:rFonts w:ascii="Arial" w:hAnsi="Arial" w:cs="Arial"/>
          <w:sz w:val="20"/>
        </w:rPr>
        <w:t xml:space="preserve">. La società </w:t>
      </w:r>
      <w:r w:rsidR="002A4703">
        <w:rPr>
          <w:rFonts w:ascii="Arial" w:hAnsi="Arial" w:cs="Arial"/>
          <w:bCs/>
          <w:sz w:val="20"/>
        </w:rPr>
        <w:t>controllata</w:t>
      </w:r>
      <w:r w:rsidR="002A4703" w:rsidRPr="004B4FC4">
        <w:rPr>
          <w:rFonts w:ascii="Arial" w:hAnsi="Arial" w:cs="Arial"/>
          <w:sz w:val="20"/>
        </w:rPr>
        <w:t xml:space="preserve"> </w:t>
      </w:r>
      <w:r w:rsidRPr="004B4FC4">
        <w:rPr>
          <w:rFonts w:ascii="Arial" w:hAnsi="Arial" w:cs="Arial"/>
          <w:sz w:val="20"/>
        </w:rPr>
        <w:t xml:space="preserve">ha fatto ricorso contro la sentenza della Corte d’Appello e contemporaneamente avviato una negoziazione con la Regione finalizzata a raggiungere un accordo transattivo che potrebbe ridurre in modo consistente la passività stabilita dalla sentenza. In particolare, la Regione potrebbe rinunciare agli interessi legali ed accettare la compensazione con le somme riconosciute dalla sentenza Consiglio di Stato 2323/2019 riguardante il contenzioso con la Regione Campania per la mancata erogazione dei contributi CCNL e la riduzione delle risorse per i servizi TPL relative all’annualità 2011. Sulla base di tale giudizio di ottemperanza dovrà essere riconosciuto un importo aggiuntivo di circa €/Mln 13 per l’anno in questione. Essendo, tuttavia, tale interlocuzione al momento solo avviata, il valore esposto in bilancio rappresenta la passività massima associata all’evento, tenuto </w:t>
      </w:r>
      <w:r w:rsidRPr="004B4FC4">
        <w:rPr>
          <w:rFonts w:ascii="Arial" w:hAnsi="Arial" w:cs="Arial"/>
          <w:sz w:val="20"/>
        </w:rPr>
        <w:lastRenderedPageBreak/>
        <w:t>conto dell’avvenuta sentenza sfavorevole.</w:t>
      </w:r>
    </w:p>
    <w:p w14:paraId="5D1282EF" w14:textId="19498CAF" w:rsidR="004B4FC4" w:rsidRPr="004B4FC4" w:rsidRDefault="004B4FC4" w:rsidP="004B4FC4">
      <w:pPr>
        <w:pStyle w:val="Corpotesto"/>
        <w:widowControl w:val="0"/>
        <w:spacing w:before="120" w:after="120"/>
        <w:rPr>
          <w:rFonts w:ascii="Arial" w:hAnsi="Arial" w:cs="Arial"/>
          <w:sz w:val="20"/>
        </w:rPr>
      </w:pPr>
      <w:r w:rsidRPr="004B4FC4">
        <w:rPr>
          <w:rFonts w:ascii="Arial" w:hAnsi="Arial" w:cs="Arial"/>
          <w:sz w:val="20"/>
        </w:rPr>
        <w:t xml:space="preserve">Nel 2019 si è dato altresì luogo ad un accantonamento di 654 </w:t>
      </w:r>
      <w:r w:rsidR="00FA68F4">
        <w:rPr>
          <w:rFonts w:ascii="Arial" w:hAnsi="Arial" w:cs="Arial"/>
          <w:i/>
          <w:sz w:val="20"/>
        </w:rPr>
        <w:t>€/000</w:t>
      </w:r>
      <w:r w:rsidRPr="004B4FC4">
        <w:rPr>
          <w:rFonts w:ascii="Arial" w:hAnsi="Arial" w:cs="Arial"/>
          <w:i/>
          <w:sz w:val="20"/>
        </w:rPr>
        <w:t xml:space="preserve"> </w:t>
      </w:r>
      <w:r w:rsidRPr="004B4FC4">
        <w:rPr>
          <w:rFonts w:ascii="Arial" w:hAnsi="Arial" w:cs="Arial"/>
          <w:sz w:val="20"/>
        </w:rPr>
        <w:t>per adeguare il fondo ad un valore ritenuto congruo a fronteggiare le ipotesi di futura soccombenza di altre cause e sono stati rilasciati 479</w:t>
      </w:r>
      <w:r w:rsidRPr="004B4FC4">
        <w:rPr>
          <w:rFonts w:ascii="Arial" w:hAnsi="Arial" w:cs="Arial"/>
          <w:i/>
          <w:sz w:val="20"/>
        </w:rPr>
        <w:t xml:space="preserve"> </w:t>
      </w:r>
      <w:r w:rsidR="00FA68F4">
        <w:rPr>
          <w:rFonts w:ascii="Arial" w:hAnsi="Arial" w:cs="Arial"/>
          <w:i/>
          <w:sz w:val="20"/>
        </w:rPr>
        <w:t>€/000</w:t>
      </w:r>
      <w:r w:rsidRPr="004B4FC4">
        <w:rPr>
          <w:rFonts w:ascii="Arial" w:hAnsi="Arial" w:cs="Arial"/>
          <w:i/>
          <w:sz w:val="20"/>
        </w:rPr>
        <w:t xml:space="preserve">. </w:t>
      </w:r>
      <w:r w:rsidRPr="004B4FC4">
        <w:rPr>
          <w:rFonts w:ascii="Arial" w:hAnsi="Arial" w:cs="Arial"/>
          <w:sz w:val="20"/>
        </w:rPr>
        <w:t>Il rilascio pi</w:t>
      </w:r>
      <w:r w:rsidR="00FA68F4">
        <w:rPr>
          <w:rFonts w:ascii="Arial" w:hAnsi="Arial" w:cs="Arial"/>
          <w:sz w:val="20"/>
        </w:rPr>
        <w:t>ù</w:t>
      </w:r>
      <w:r w:rsidRPr="004B4FC4">
        <w:rPr>
          <w:rFonts w:ascii="Arial" w:hAnsi="Arial" w:cs="Arial"/>
          <w:sz w:val="20"/>
        </w:rPr>
        <w:t xml:space="preserve"> consistente di 300</w:t>
      </w:r>
      <w:r w:rsidRPr="004B4FC4">
        <w:rPr>
          <w:rFonts w:ascii="Arial" w:hAnsi="Arial" w:cs="Arial"/>
          <w:i/>
          <w:sz w:val="20"/>
        </w:rPr>
        <w:t xml:space="preserve"> </w:t>
      </w:r>
      <w:r w:rsidRPr="004B4FC4">
        <w:rPr>
          <w:rFonts w:ascii="Arial" w:hAnsi="Arial" w:cs="Arial"/>
          <w:sz w:val="20"/>
        </w:rPr>
        <w:t xml:space="preserve">€/000 è relativo alla causa vinta avverso CMG di cui alla sentenza 3700 del 29/5/2020. </w:t>
      </w:r>
    </w:p>
    <w:p w14:paraId="2A3605EF" w14:textId="3DB50DCC" w:rsidR="004B4FC4" w:rsidRPr="004B4FC4" w:rsidRDefault="004B4FC4" w:rsidP="004B4FC4">
      <w:pPr>
        <w:pStyle w:val="Corpotesto"/>
        <w:widowControl w:val="0"/>
        <w:spacing w:before="120" w:after="120"/>
        <w:rPr>
          <w:rFonts w:ascii="Arial" w:hAnsi="Arial" w:cs="Arial"/>
          <w:sz w:val="20"/>
        </w:rPr>
      </w:pPr>
      <w:r w:rsidRPr="004B4FC4">
        <w:rPr>
          <w:rFonts w:ascii="Arial" w:hAnsi="Arial" w:cs="Arial"/>
          <w:sz w:val="20"/>
        </w:rPr>
        <w:t>Il fondo è stato altres</w:t>
      </w:r>
      <w:r w:rsidR="00FA68F4">
        <w:rPr>
          <w:rFonts w:ascii="Arial" w:hAnsi="Arial" w:cs="Arial"/>
          <w:sz w:val="20"/>
        </w:rPr>
        <w:t>ì</w:t>
      </w:r>
      <w:r w:rsidRPr="004B4FC4">
        <w:rPr>
          <w:rFonts w:ascii="Arial" w:hAnsi="Arial" w:cs="Arial"/>
          <w:sz w:val="20"/>
        </w:rPr>
        <w:t xml:space="preserve"> stralciato per la parte relativa all’importo rientrato nella massa concordataria, nella misura del 62,7%, per 4.505</w:t>
      </w:r>
      <w:r w:rsidRPr="004B4FC4">
        <w:rPr>
          <w:rFonts w:ascii="Arial" w:hAnsi="Arial" w:cs="Arial"/>
          <w:i/>
          <w:sz w:val="20"/>
        </w:rPr>
        <w:t xml:space="preserve"> </w:t>
      </w:r>
      <w:r w:rsidR="00FA68F4">
        <w:rPr>
          <w:rFonts w:ascii="Arial" w:hAnsi="Arial" w:cs="Arial"/>
          <w:i/>
          <w:sz w:val="20"/>
        </w:rPr>
        <w:t>€/000</w:t>
      </w:r>
      <w:r w:rsidRPr="004B4FC4">
        <w:rPr>
          <w:rFonts w:ascii="Arial" w:hAnsi="Arial" w:cs="Arial"/>
          <w:sz w:val="20"/>
        </w:rPr>
        <w:t xml:space="preserve">, e di cui al dettaglio che si fornirà in seguito per la sopravvenienza attiva da stralcio. Il fondo al 31/12/2019 è pari a 38.684 </w:t>
      </w:r>
      <w:r w:rsidR="00FA68F4">
        <w:rPr>
          <w:rFonts w:ascii="Arial" w:hAnsi="Arial" w:cs="Arial"/>
          <w:i/>
          <w:sz w:val="20"/>
        </w:rPr>
        <w:t>€/000</w:t>
      </w:r>
    </w:p>
    <w:p w14:paraId="758E6602" w14:textId="65DF25FF" w:rsidR="004B4FC4" w:rsidRPr="004B4FC4" w:rsidRDefault="004B4FC4" w:rsidP="004B4FC4">
      <w:pPr>
        <w:pStyle w:val="Corpotesto"/>
        <w:widowControl w:val="0"/>
        <w:spacing w:before="120" w:after="120"/>
        <w:rPr>
          <w:rFonts w:ascii="Arial" w:hAnsi="Arial" w:cs="Arial"/>
          <w:sz w:val="20"/>
        </w:rPr>
      </w:pPr>
      <w:r w:rsidRPr="004B4FC4">
        <w:rPr>
          <w:rFonts w:ascii="Arial" w:hAnsi="Arial" w:cs="Arial"/>
          <w:b/>
          <w:bCs/>
          <w:sz w:val="20"/>
        </w:rPr>
        <w:t xml:space="preserve">Fondo franchigia assicurativa: </w:t>
      </w:r>
      <w:r w:rsidRPr="004B4FC4">
        <w:rPr>
          <w:rFonts w:ascii="Arial" w:hAnsi="Arial" w:cs="Arial"/>
          <w:sz w:val="20"/>
        </w:rPr>
        <w:t xml:space="preserve">Il fondo è stato utilizzato a seguito pagamento franchigie avvenuto nell’anno per 271 €/000; e adeguato mediante un rilascio di 311€/000, sino a concorrenza di 2.996 €/000, a seguito del confronto con i dettagli forniti dalle singole compagnie assicurative al fine di elaborare le proiezioni dei valori futuri delle franchigie da liquidare in funzione degli andamenti storici dei sinistri e delle valutazioni espresse dal broker sulla frequenza degli stessi. Il fondo è stato poi stralciato per 334 </w:t>
      </w:r>
      <w:r w:rsidR="00FA68F4">
        <w:rPr>
          <w:rFonts w:ascii="Arial" w:hAnsi="Arial" w:cs="Arial"/>
          <w:i/>
          <w:sz w:val="20"/>
        </w:rPr>
        <w:t>€/000</w:t>
      </w:r>
      <w:r w:rsidRPr="004B4FC4">
        <w:rPr>
          <w:rFonts w:ascii="Arial" w:hAnsi="Arial" w:cs="Arial"/>
          <w:i/>
          <w:sz w:val="20"/>
        </w:rPr>
        <w:t xml:space="preserve"> </w:t>
      </w:r>
      <w:r w:rsidRPr="004B4FC4">
        <w:rPr>
          <w:rFonts w:ascii="Arial" w:hAnsi="Arial" w:cs="Arial"/>
          <w:sz w:val="20"/>
        </w:rPr>
        <w:t>per l’importo relativo alla debenza entrata nella massa concordataria, nella misura del 62,7 %, di cui al dettaglio che si fornirà in seguito per la sopravvenienza attiva legata alla falcidia della massa debitoria.</w:t>
      </w:r>
    </w:p>
    <w:p w14:paraId="6C589D05" w14:textId="77777777" w:rsidR="004B4FC4" w:rsidRPr="004B4FC4" w:rsidRDefault="004B4FC4" w:rsidP="004B4FC4">
      <w:pPr>
        <w:pStyle w:val="Corpotesto"/>
        <w:widowControl w:val="0"/>
        <w:spacing w:before="120" w:after="120"/>
        <w:rPr>
          <w:rFonts w:ascii="Arial" w:hAnsi="Arial" w:cs="Arial"/>
          <w:sz w:val="20"/>
        </w:rPr>
      </w:pPr>
      <w:r w:rsidRPr="004B4FC4">
        <w:rPr>
          <w:rFonts w:ascii="Arial" w:hAnsi="Arial" w:cs="Arial"/>
          <w:b/>
          <w:bCs/>
          <w:sz w:val="20"/>
        </w:rPr>
        <w:t xml:space="preserve">Fondo ripristino ambientale: </w:t>
      </w:r>
      <w:r w:rsidRPr="004B4FC4">
        <w:rPr>
          <w:rFonts w:ascii="Arial" w:hAnsi="Arial" w:cs="Arial"/>
          <w:sz w:val="20"/>
        </w:rPr>
        <w:t>il fondo, include le quote relative alla percentuale del 30% dell’ammortamento calcolato fino all’esercizio 2016, sui fabbricati di proprietà ANM; in forza dell’OIC 16, che ha sancito lo scorporo del valore del terreno su cui insistono i fabbricati, le relative quote di ammortamento riferibili all’area di pertinenza sono state imputate ad un fondo ad uopo costituito e di cui alla voce in oggetto.</w:t>
      </w:r>
    </w:p>
    <w:p w14:paraId="1A5ED2B0" w14:textId="3CC18E24" w:rsidR="00C5193C" w:rsidRPr="00C5193C" w:rsidRDefault="004B4FC4" w:rsidP="00C5193C">
      <w:pPr>
        <w:pStyle w:val="Corpotesto"/>
        <w:widowControl w:val="0"/>
        <w:spacing w:before="120" w:after="120"/>
        <w:rPr>
          <w:rFonts w:ascii="Arial" w:hAnsi="Arial" w:cs="Arial"/>
          <w:sz w:val="20"/>
        </w:rPr>
      </w:pPr>
      <w:r w:rsidRPr="004B4FC4">
        <w:rPr>
          <w:rFonts w:ascii="Arial" w:hAnsi="Arial" w:cs="Arial"/>
          <w:b/>
          <w:bCs/>
          <w:sz w:val="20"/>
        </w:rPr>
        <w:t xml:space="preserve">Fondo oneri procedura concorsuale: </w:t>
      </w:r>
      <w:r w:rsidRPr="004B4FC4">
        <w:rPr>
          <w:rFonts w:ascii="Arial" w:hAnsi="Arial" w:cs="Arial"/>
          <w:sz w:val="20"/>
        </w:rPr>
        <w:t>il fondo è stato accantonato nel 2018 per accogliere gli oneri stimati per la gestione della procedura concorsuale e non ancora fatturati. È stato utilizzato nel 2019 per il sostenimento spese da parte dei commissari per 18 €/000</w:t>
      </w:r>
      <w:r w:rsidR="00C5193C">
        <w:rPr>
          <w:rFonts w:ascii="Arial" w:hAnsi="Arial" w:cs="Arial"/>
          <w:sz w:val="20"/>
        </w:rPr>
        <w:t>.</w:t>
      </w:r>
      <w:r w:rsidR="00FA68F4">
        <w:rPr>
          <w:rFonts w:ascii="Arial" w:hAnsi="Arial" w:cs="Arial"/>
          <w:sz w:val="20"/>
        </w:rPr>
        <w:t xml:space="preserve"> </w:t>
      </w:r>
      <w:r w:rsidR="00C5193C" w:rsidRPr="00C5193C">
        <w:rPr>
          <w:rFonts w:ascii="Arial" w:hAnsi="Arial" w:cs="Arial"/>
          <w:sz w:val="20"/>
        </w:rPr>
        <w:t xml:space="preserve">Il fondo al 31/12/19 vale 2.400 €/000  </w:t>
      </w:r>
    </w:p>
    <w:p w14:paraId="42C55B64" w14:textId="1100A744" w:rsidR="0068370F" w:rsidRDefault="0068370F" w:rsidP="0068370F">
      <w:pPr>
        <w:pStyle w:val="Corpotesto"/>
        <w:widowControl w:val="0"/>
        <w:spacing w:before="120" w:after="120"/>
        <w:rPr>
          <w:rFonts w:ascii="Arial" w:hAnsi="Arial" w:cs="Arial"/>
          <w:sz w:val="20"/>
        </w:rPr>
      </w:pPr>
      <w:r>
        <w:rPr>
          <w:rFonts w:ascii="Arial" w:hAnsi="Arial" w:cs="Arial"/>
          <w:b/>
          <w:sz w:val="20"/>
        </w:rPr>
        <w:t>Fondo oneri futuri vari</w:t>
      </w:r>
      <w:r w:rsidRPr="00C81D88">
        <w:rPr>
          <w:rFonts w:ascii="Arial" w:hAnsi="Arial" w:cs="Arial"/>
          <w:sz w:val="20"/>
        </w:rPr>
        <w:t>: il fondo accoglie principalmente gli</w:t>
      </w:r>
      <w:r>
        <w:rPr>
          <w:rFonts w:ascii="Arial" w:hAnsi="Arial" w:cs="Arial"/>
          <w:b/>
          <w:sz w:val="20"/>
        </w:rPr>
        <w:t xml:space="preserve"> </w:t>
      </w:r>
      <w:r w:rsidRPr="00C81D88">
        <w:rPr>
          <w:rFonts w:ascii="Arial" w:hAnsi="Arial" w:cs="Arial"/>
          <w:sz w:val="20"/>
        </w:rPr>
        <w:t xml:space="preserve">accantonamenti per premialità correlati alle disposizioni del contratto di TPL, </w:t>
      </w:r>
      <w:r w:rsidR="00FA68F4">
        <w:rPr>
          <w:rFonts w:ascii="Arial" w:hAnsi="Arial" w:cs="Arial"/>
          <w:sz w:val="20"/>
        </w:rPr>
        <w:t xml:space="preserve">per </w:t>
      </w:r>
      <w:r w:rsidRPr="00C81D88">
        <w:rPr>
          <w:rFonts w:ascii="Arial" w:hAnsi="Arial" w:cs="Arial"/>
          <w:sz w:val="20"/>
        </w:rPr>
        <w:t xml:space="preserve">circa </w:t>
      </w:r>
      <w:r w:rsidR="00E76607">
        <w:rPr>
          <w:rFonts w:ascii="Arial" w:hAnsi="Arial" w:cs="Arial"/>
          <w:sz w:val="20"/>
        </w:rPr>
        <w:t>576</w:t>
      </w:r>
      <w:r w:rsidRPr="00C81D88">
        <w:rPr>
          <w:rFonts w:ascii="Arial" w:hAnsi="Arial" w:cs="Arial"/>
          <w:sz w:val="20"/>
        </w:rPr>
        <w:t xml:space="preserve"> </w:t>
      </w:r>
      <w:r w:rsidR="00FA68F4">
        <w:rPr>
          <w:rFonts w:ascii="Arial" w:hAnsi="Arial" w:cs="Arial"/>
          <w:sz w:val="20"/>
        </w:rPr>
        <w:t>€/000 e</w:t>
      </w:r>
      <w:r w:rsidRPr="00C81D88">
        <w:rPr>
          <w:rFonts w:ascii="Arial" w:hAnsi="Arial" w:cs="Arial"/>
          <w:sz w:val="20"/>
        </w:rPr>
        <w:t xml:space="preserve"> accantonamenti per Tarsu </w:t>
      </w:r>
      <w:r w:rsidR="00FA68F4">
        <w:rPr>
          <w:rFonts w:ascii="Arial" w:hAnsi="Arial" w:cs="Arial"/>
          <w:sz w:val="20"/>
        </w:rPr>
        <w:t xml:space="preserve">per </w:t>
      </w:r>
      <w:r w:rsidRPr="00C81D88">
        <w:rPr>
          <w:rFonts w:ascii="Arial" w:hAnsi="Arial" w:cs="Arial"/>
          <w:sz w:val="20"/>
        </w:rPr>
        <w:t xml:space="preserve">circa </w:t>
      </w:r>
      <w:r w:rsidR="00116B06" w:rsidRPr="00C81D88">
        <w:rPr>
          <w:rFonts w:ascii="Arial" w:hAnsi="Arial" w:cs="Arial"/>
          <w:sz w:val="20"/>
        </w:rPr>
        <w:t>euro</w:t>
      </w:r>
      <w:r w:rsidRPr="00C81D88">
        <w:rPr>
          <w:rFonts w:ascii="Arial" w:hAnsi="Arial" w:cs="Arial"/>
          <w:sz w:val="20"/>
        </w:rPr>
        <w:t xml:space="preserve"> </w:t>
      </w:r>
      <w:r w:rsidR="00A41DB6">
        <w:rPr>
          <w:rFonts w:ascii="Arial" w:hAnsi="Arial" w:cs="Arial"/>
          <w:sz w:val="20"/>
        </w:rPr>
        <w:t>22</w:t>
      </w:r>
      <w:r w:rsidR="00FA68F4">
        <w:rPr>
          <w:rFonts w:ascii="Arial" w:hAnsi="Arial" w:cs="Arial"/>
          <w:sz w:val="20"/>
        </w:rPr>
        <w:t xml:space="preserve"> €/000</w:t>
      </w:r>
      <w:r w:rsidRPr="00C81D88">
        <w:rPr>
          <w:rFonts w:ascii="Arial" w:hAnsi="Arial" w:cs="Arial"/>
          <w:sz w:val="20"/>
        </w:rPr>
        <w:t xml:space="preserve">. </w:t>
      </w:r>
    </w:p>
    <w:p w14:paraId="1B6AFC0E" w14:textId="2007480C" w:rsidR="00EE4AF0" w:rsidRDefault="00EE4AF0" w:rsidP="002D4D1D">
      <w:pPr>
        <w:pStyle w:val="Corpotesto"/>
        <w:widowControl w:val="0"/>
        <w:spacing w:before="120" w:after="120"/>
        <w:rPr>
          <w:rFonts w:ascii="Arial" w:hAnsi="Arial" w:cs="Arial"/>
          <w:b/>
          <w:sz w:val="20"/>
        </w:rPr>
      </w:pPr>
      <w:r w:rsidRPr="00CE6109">
        <w:rPr>
          <w:rFonts w:ascii="Arial" w:hAnsi="Arial" w:cs="Arial"/>
          <w:b/>
          <w:sz w:val="20"/>
        </w:rPr>
        <w:t>Fondo T.F.R.</w:t>
      </w:r>
    </w:p>
    <w:p w14:paraId="5263C91A" w14:textId="5926D4FE" w:rsidR="00D65236" w:rsidRPr="00CE6109" w:rsidRDefault="00D65236" w:rsidP="002D4D1D">
      <w:pPr>
        <w:pStyle w:val="Corpotesto"/>
        <w:widowControl w:val="0"/>
        <w:spacing w:before="120" w:after="120"/>
        <w:rPr>
          <w:rFonts w:ascii="Arial" w:hAnsi="Arial" w:cs="Arial"/>
          <w:b/>
          <w:sz w:val="20"/>
        </w:rPr>
      </w:pPr>
      <w:r w:rsidRPr="008B3BFA">
        <w:rPr>
          <w:rFonts w:ascii="Arial" w:hAnsi="Arial" w:cs="Arial"/>
          <w:i/>
          <w:iCs/>
          <w:sz w:val="18"/>
          <w:szCs w:val="18"/>
        </w:rPr>
        <w:t>Euro/000</w:t>
      </w:r>
    </w:p>
    <w:p w14:paraId="72546931" w14:textId="740E9194" w:rsidR="00BC5B9A" w:rsidRDefault="00CE6109" w:rsidP="002D4D1D">
      <w:pPr>
        <w:pStyle w:val="Corpotesto"/>
        <w:widowControl w:val="0"/>
        <w:spacing w:before="120" w:after="120"/>
        <w:rPr>
          <w:rFonts w:ascii="Arial" w:hAnsi="Arial" w:cs="Arial"/>
          <w:b/>
          <w:sz w:val="20"/>
          <w:u w:val="single"/>
        </w:rPr>
      </w:pPr>
      <w:r>
        <w:rPr>
          <w:noProof/>
        </w:rPr>
        <w:drawing>
          <wp:inline distT="0" distB="0" distL="0" distR="0" wp14:anchorId="7400708D" wp14:editId="5722FB46">
            <wp:extent cx="5391150" cy="8382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838200"/>
                    </a:xfrm>
                    <a:prstGeom prst="rect">
                      <a:avLst/>
                    </a:prstGeom>
                    <a:noFill/>
                    <a:ln>
                      <a:noFill/>
                    </a:ln>
                  </pic:spPr>
                </pic:pic>
              </a:graphicData>
            </a:graphic>
          </wp:inline>
        </w:drawing>
      </w:r>
    </w:p>
    <w:p w14:paraId="2B548147" w14:textId="77777777" w:rsidR="0088521A" w:rsidRDefault="00693B59" w:rsidP="002D4D1D">
      <w:pPr>
        <w:widowControl w:val="0"/>
        <w:spacing w:before="120" w:after="120"/>
        <w:jc w:val="both"/>
        <w:rPr>
          <w:rFonts w:ascii="Arial" w:hAnsi="Arial" w:cs="Arial"/>
          <w:snapToGrid w:val="0"/>
          <w:sz w:val="20"/>
        </w:rPr>
      </w:pPr>
      <w:r>
        <w:rPr>
          <w:rFonts w:ascii="Arial" w:hAnsi="Arial" w:cs="Arial"/>
          <w:snapToGrid w:val="0"/>
          <w:sz w:val="20"/>
        </w:rPr>
        <w:t>Il</w:t>
      </w:r>
      <w:r w:rsidR="00EE4AF0">
        <w:rPr>
          <w:rFonts w:ascii="Arial" w:hAnsi="Arial" w:cs="Arial"/>
          <w:snapToGrid w:val="0"/>
          <w:sz w:val="20"/>
        </w:rPr>
        <w:t xml:space="preserve"> fondo accantonato rappresenta l’effettivo debito </w:t>
      </w:r>
      <w:r w:rsidR="00CC5522">
        <w:rPr>
          <w:rFonts w:ascii="Arial" w:hAnsi="Arial" w:cs="Arial"/>
          <w:snapToGrid w:val="0"/>
          <w:sz w:val="20"/>
        </w:rPr>
        <w:t>del gruppo</w:t>
      </w:r>
      <w:r w:rsidR="00EE4AF0">
        <w:rPr>
          <w:rFonts w:ascii="Arial" w:hAnsi="Arial" w:cs="Arial"/>
          <w:snapToGrid w:val="0"/>
          <w:sz w:val="20"/>
        </w:rPr>
        <w:t xml:space="preserve"> alla chiusura dell’esercizio verso i dipendenti in forza a tale data, al netto degli anticipi corrisposti agli stessi </w:t>
      </w:r>
      <w:r w:rsidR="00B827D6">
        <w:rPr>
          <w:rFonts w:ascii="Arial" w:hAnsi="Arial" w:cs="Arial"/>
          <w:snapToGrid w:val="0"/>
          <w:sz w:val="20"/>
        </w:rPr>
        <w:t xml:space="preserve">e risulta </w:t>
      </w:r>
      <w:r w:rsidR="00116B06">
        <w:rPr>
          <w:rFonts w:ascii="Arial" w:hAnsi="Arial" w:cs="Arial"/>
          <w:snapToGrid w:val="0"/>
          <w:sz w:val="20"/>
        </w:rPr>
        <w:t>variato rispetto</w:t>
      </w:r>
      <w:r w:rsidR="00386F8C">
        <w:rPr>
          <w:rFonts w:ascii="Arial" w:hAnsi="Arial" w:cs="Arial"/>
          <w:snapToGrid w:val="0"/>
          <w:sz w:val="20"/>
        </w:rPr>
        <w:t xml:space="preserve"> all’anno precedente per – </w:t>
      </w:r>
      <w:r w:rsidR="00116B06">
        <w:rPr>
          <w:rFonts w:ascii="Arial" w:hAnsi="Arial" w:cs="Arial"/>
          <w:snapToGrid w:val="0"/>
          <w:sz w:val="20"/>
        </w:rPr>
        <w:t>e</w:t>
      </w:r>
      <w:r w:rsidR="00386F8C">
        <w:rPr>
          <w:rFonts w:ascii="Arial" w:hAnsi="Arial" w:cs="Arial"/>
          <w:snapToGrid w:val="0"/>
          <w:sz w:val="20"/>
        </w:rPr>
        <w:t xml:space="preserve">uro </w:t>
      </w:r>
      <w:r w:rsidR="00116B06">
        <w:rPr>
          <w:rFonts w:ascii="Arial" w:hAnsi="Arial" w:cs="Arial"/>
          <w:snapToGrid w:val="0"/>
          <w:sz w:val="20"/>
        </w:rPr>
        <w:t xml:space="preserve">273 </w:t>
      </w:r>
      <w:r w:rsidR="00386F8C">
        <w:rPr>
          <w:rFonts w:ascii="Arial" w:hAnsi="Arial" w:cs="Arial"/>
          <w:snapToGrid w:val="0"/>
          <w:sz w:val="20"/>
        </w:rPr>
        <w:t>mila</w:t>
      </w:r>
      <w:r w:rsidR="00CC5522">
        <w:rPr>
          <w:rFonts w:ascii="Arial" w:hAnsi="Arial" w:cs="Arial"/>
          <w:snapToGrid w:val="0"/>
          <w:sz w:val="20"/>
        </w:rPr>
        <w:t>.</w:t>
      </w:r>
      <w:r w:rsidR="00386F8C">
        <w:rPr>
          <w:rFonts w:ascii="Arial" w:hAnsi="Arial" w:cs="Arial"/>
          <w:snapToGrid w:val="0"/>
          <w:sz w:val="20"/>
        </w:rPr>
        <w:t xml:space="preserve"> </w:t>
      </w:r>
    </w:p>
    <w:p w14:paraId="63F039A9" w14:textId="77777777" w:rsidR="00B3214B" w:rsidRDefault="00EE4AF0" w:rsidP="002D4D1D">
      <w:pPr>
        <w:widowControl w:val="0"/>
        <w:tabs>
          <w:tab w:val="left" w:pos="1800"/>
        </w:tabs>
        <w:spacing w:before="120" w:after="120"/>
        <w:jc w:val="both"/>
        <w:rPr>
          <w:rFonts w:ascii="Arial" w:hAnsi="Arial" w:cs="Arial"/>
          <w:snapToGrid w:val="0"/>
          <w:sz w:val="20"/>
        </w:rPr>
      </w:pPr>
      <w:r w:rsidRPr="003278DF">
        <w:rPr>
          <w:rFonts w:ascii="Arial" w:hAnsi="Arial" w:cs="Arial"/>
          <w:snapToGrid w:val="0"/>
          <w:sz w:val="20"/>
        </w:rPr>
        <w:t>A seguito dell’approvazione della legge 27 dicembre 2006, numero 296 “Legge Finanziaria 2007” e successivi decreti e regolamenti, le quote di TFR maturate a decorrere dal 01.01.07, nel caso di destinazione al fondo tesoreria presso l’INPS, e dal 30.06.07 o data di adesione antecedente, nel caso di adesione alla previdenza complementare, sono versati al fondo di tesoreria ed alla previdenza complementare secondo le scadenze di legge.</w:t>
      </w:r>
      <w:r w:rsidR="00A51392">
        <w:rPr>
          <w:rFonts w:ascii="Arial" w:hAnsi="Arial" w:cs="Arial"/>
          <w:snapToGrid w:val="0"/>
          <w:sz w:val="20"/>
        </w:rPr>
        <w:t xml:space="preserve"> </w:t>
      </w:r>
      <w:r w:rsidR="00121461">
        <w:rPr>
          <w:rFonts w:ascii="Arial" w:hAnsi="Arial" w:cs="Arial"/>
          <w:snapToGrid w:val="0"/>
          <w:sz w:val="20"/>
        </w:rPr>
        <w:t xml:space="preserve">Il fondo si è incrementato per </w:t>
      </w:r>
      <w:r w:rsidR="00A51392">
        <w:rPr>
          <w:rFonts w:ascii="Arial" w:hAnsi="Arial" w:cs="Arial"/>
          <w:snapToGrid w:val="0"/>
          <w:sz w:val="20"/>
        </w:rPr>
        <w:t>la rivalutazione del TFR in azienda</w:t>
      </w:r>
      <w:r w:rsidR="00121461">
        <w:rPr>
          <w:rFonts w:ascii="Arial" w:hAnsi="Arial" w:cs="Arial"/>
          <w:snapToGrid w:val="0"/>
          <w:sz w:val="20"/>
        </w:rPr>
        <w:t xml:space="preserve"> e si è ridotto </w:t>
      </w:r>
      <w:r w:rsidR="00A51392">
        <w:rPr>
          <w:rFonts w:ascii="Arial" w:hAnsi="Arial" w:cs="Arial"/>
          <w:snapToGrid w:val="0"/>
          <w:sz w:val="20"/>
        </w:rPr>
        <w:t xml:space="preserve">in </w:t>
      </w:r>
      <w:r w:rsidR="00121461">
        <w:rPr>
          <w:rFonts w:ascii="Arial" w:hAnsi="Arial" w:cs="Arial"/>
          <w:snapToGrid w:val="0"/>
          <w:sz w:val="20"/>
        </w:rPr>
        <w:t xml:space="preserve">relazione </w:t>
      </w:r>
      <w:r w:rsidR="00A51392">
        <w:rPr>
          <w:rFonts w:ascii="Arial" w:hAnsi="Arial" w:cs="Arial"/>
          <w:snapToGrid w:val="0"/>
          <w:sz w:val="20"/>
        </w:rPr>
        <w:t>alle somme liquidate al personale</w:t>
      </w:r>
      <w:r w:rsidR="008F0468">
        <w:rPr>
          <w:rFonts w:ascii="Arial" w:hAnsi="Arial" w:cs="Arial"/>
          <w:snapToGrid w:val="0"/>
          <w:sz w:val="20"/>
        </w:rPr>
        <w:t>,</w:t>
      </w:r>
      <w:r w:rsidR="00A51392">
        <w:rPr>
          <w:rFonts w:ascii="Arial" w:hAnsi="Arial" w:cs="Arial"/>
          <w:snapToGrid w:val="0"/>
          <w:sz w:val="20"/>
        </w:rPr>
        <w:t xml:space="preserve"> il </w:t>
      </w:r>
      <w:r w:rsidR="008F0468">
        <w:rPr>
          <w:rFonts w:ascii="Arial" w:hAnsi="Arial" w:cs="Arial"/>
          <w:snapToGrid w:val="0"/>
          <w:sz w:val="20"/>
        </w:rPr>
        <w:t xml:space="preserve">cui rapporto lavorativo con </w:t>
      </w:r>
      <w:r w:rsidR="00386F8C">
        <w:rPr>
          <w:rFonts w:ascii="Arial" w:hAnsi="Arial" w:cs="Arial"/>
          <w:snapToGrid w:val="0"/>
          <w:sz w:val="20"/>
        </w:rPr>
        <w:t>l’ANM è cessato.</w:t>
      </w:r>
    </w:p>
    <w:p w14:paraId="11E1036E" w14:textId="77777777" w:rsidR="00FA68F4" w:rsidRPr="00B3214B" w:rsidRDefault="00FA68F4" w:rsidP="002D4D1D">
      <w:pPr>
        <w:widowControl w:val="0"/>
        <w:tabs>
          <w:tab w:val="left" w:pos="1800"/>
        </w:tabs>
        <w:spacing w:before="120" w:after="120"/>
        <w:jc w:val="both"/>
        <w:rPr>
          <w:rFonts w:ascii="Arial" w:hAnsi="Arial" w:cs="Arial"/>
          <w:snapToGrid w:val="0"/>
          <w:sz w:val="20"/>
        </w:rPr>
      </w:pPr>
    </w:p>
    <w:p w14:paraId="004D502E" w14:textId="77777777" w:rsidR="00EE4AF0" w:rsidRPr="00CE6109" w:rsidRDefault="00EE4AF0" w:rsidP="002D4D1D">
      <w:pPr>
        <w:widowControl w:val="0"/>
        <w:spacing w:before="120" w:after="120"/>
        <w:jc w:val="both"/>
        <w:rPr>
          <w:rFonts w:ascii="Arial" w:hAnsi="Arial" w:cs="Arial"/>
          <w:b/>
          <w:snapToGrid w:val="0"/>
          <w:sz w:val="20"/>
        </w:rPr>
      </w:pPr>
      <w:r w:rsidRPr="00CE6109">
        <w:rPr>
          <w:rFonts w:ascii="Arial" w:hAnsi="Arial" w:cs="Arial"/>
          <w:b/>
          <w:snapToGrid w:val="0"/>
          <w:sz w:val="20"/>
        </w:rPr>
        <w:t>Debiti</w:t>
      </w:r>
    </w:p>
    <w:p w14:paraId="3109B78C" w14:textId="70ECF63D" w:rsidR="00EE4AF0" w:rsidRDefault="00EE4AF0" w:rsidP="002D4D1D">
      <w:pPr>
        <w:widowControl w:val="0"/>
        <w:spacing w:before="120" w:after="120"/>
        <w:jc w:val="both"/>
        <w:rPr>
          <w:rFonts w:ascii="Arial" w:hAnsi="Arial" w:cs="Arial"/>
          <w:sz w:val="20"/>
        </w:rPr>
      </w:pPr>
      <w:r w:rsidRPr="00CC5522">
        <w:rPr>
          <w:rFonts w:ascii="Arial" w:hAnsi="Arial" w:cs="Arial"/>
          <w:sz w:val="20"/>
          <w:szCs w:val="22"/>
        </w:rPr>
        <w:lastRenderedPageBreak/>
        <w:t>Di seguito si riportano le variazioni intervenute nelle voci di debito</w:t>
      </w:r>
      <w:r w:rsidRPr="00CC5522">
        <w:rPr>
          <w:rFonts w:ascii="Arial" w:hAnsi="Arial" w:cs="Arial"/>
          <w:sz w:val="20"/>
        </w:rPr>
        <w:t>:</w:t>
      </w:r>
    </w:p>
    <w:p w14:paraId="4DAF8895" w14:textId="621790DF" w:rsidR="00D65236" w:rsidRDefault="00D65236" w:rsidP="008B3BFA">
      <w:pPr>
        <w:pStyle w:val="Corpotesto"/>
        <w:widowControl w:val="0"/>
        <w:spacing w:before="120" w:after="120"/>
        <w:rPr>
          <w:rFonts w:ascii="Arial" w:hAnsi="Arial" w:cs="Arial"/>
          <w:sz w:val="20"/>
        </w:rPr>
      </w:pPr>
      <w:r w:rsidRPr="008B3BFA">
        <w:rPr>
          <w:rFonts w:ascii="Arial" w:hAnsi="Arial" w:cs="Arial"/>
          <w:i/>
          <w:iCs/>
          <w:sz w:val="18"/>
          <w:szCs w:val="18"/>
        </w:rPr>
        <w:t>Euro/000</w:t>
      </w:r>
    </w:p>
    <w:p w14:paraId="5CD35099" w14:textId="638CB86A" w:rsidR="00686E02" w:rsidRDefault="00CE6109" w:rsidP="002D4D1D">
      <w:pPr>
        <w:widowControl w:val="0"/>
        <w:spacing w:before="120" w:after="120"/>
        <w:jc w:val="both"/>
        <w:rPr>
          <w:rFonts w:ascii="Arial" w:hAnsi="Arial" w:cs="Arial"/>
          <w:sz w:val="20"/>
        </w:rPr>
      </w:pPr>
      <w:r>
        <w:rPr>
          <w:noProof/>
        </w:rPr>
        <w:drawing>
          <wp:inline distT="0" distB="0" distL="0" distR="0" wp14:anchorId="4FEAD5C5" wp14:editId="5EB51252">
            <wp:extent cx="5391150" cy="28479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2847975"/>
                    </a:xfrm>
                    <a:prstGeom prst="rect">
                      <a:avLst/>
                    </a:prstGeom>
                    <a:noFill/>
                    <a:ln>
                      <a:noFill/>
                    </a:ln>
                  </pic:spPr>
                </pic:pic>
              </a:graphicData>
            </a:graphic>
          </wp:inline>
        </w:drawing>
      </w:r>
    </w:p>
    <w:p w14:paraId="31C7E489" w14:textId="77777777" w:rsidR="00FA68F4" w:rsidRDefault="00FA68F4" w:rsidP="002D4D1D">
      <w:pPr>
        <w:widowControl w:val="0"/>
        <w:tabs>
          <w:tab w:val="left" w:pos="1080"/>
        </w:tabs>
        <w:spacing w:before="120" w:after="120"/>
        <w:jc w:val="both"/>
        <w:rPr>
          <w:rFonts w:ascii="Arial" w:hAnsi="Arial" w:cs="Arial"/>
          <w:b/>
          <w:snapToGrid w:val="0"/>
          <w:sz w:val="20"/>
          <w:u w:val="single"/>
        </w:rPr>
      </w:pPr>
    </w:p>
    <w:p w14:paraId="5C972546" w14:textId="77777777" w:rsidR="00EE4AF0" w:rsidRPr="00FA68F4" w:rsidRDefault="00EE4AF0" w:rsidP="002D4D1D">
      <w:pPr>
        <w:widowControl w:val="0"/>
        <w:tabs>
          <w:tab w:val="left" w:pos="1080"/>
        </w:tabs>
        <w:spacing w:before="120" w:after="120"/>
        <w:jc w:val="both"/>
        <w:rPr>
          <w:rFonts w:ascii="Arial" w:hAnsi="Arial" w:cs="Arial"/>
          <w:b/>
          <w:snapToGrid w:val="0"/>
          <w:sz w:val="20"/>
          <w:u w:val="single"/>
        </w:rPr>
      </w:pPr>
      <w:r w:rsidRPr="00FA68F4">
        <w:rPr>
          <w:rFonts w:ascii="Arial" w:hAnsi="Arial" w:cs="Arial"/>
          <w:b/>
          <w:snapToGrid w:val="0"/>
          <w:sz w:val="20"/>
          <w:u w:val="single"/>
        </w:rPr>
        <w:t>Debiti verso banche</w:t>
      </w:r>
    </w:p>
    <w:p w14:paraId="2D7DCF8A" w14:textId="7880A532" w:rsidR="00884711" w:rsidRDefault="00625774" w:rsidP="002D4D1D">
      <w:pPr>
        <w:widowControl w:val="0"/>
        <w:tabs>
          <w:tab w:val="left" w:pos="1080"/>
        </w:tabs>
        <w:spacing w:before="120" w:after="120"/>
        <w:jc w:val="both"/>
        <w:rPr>
          <w:rFonts w:ascii="Arial" w:hAnsi="Arial" w:cs="Arial"/>
          <w:snapToGrid w:val="0"/>
          <w:sz w:val="20"/>
        </w:rPr>
      </w:pPr>
      <w:r w:rsidRPr="00150DE2">
        <w:rPr>
          <w:rFonts w:ascii="Arial" w:hAnsi="Arial" w:cs="Arial"/>
          <w:snapToGrid w:val="0"/>
          <w:sz w:val="20"/>
        </w:rPr>
        <w:t xml:space="preserve">La voce </w:t>
      </w:r>
      <w:r w:rsidR="002B283A" w:rsidRPr="00150DE2">
        <w:rPr>
          <w:rFonts w:ascii="Arial" w:hAnsi="Arial" w:cs="Arial"/>
          <w:snapToGrid w:val="0"/>
          <w:sz w:val="20"/>
        </w:rPr>
        <w:t>evidenzia</w:t>
      </w:r>
      <w:r w:rsidR="00904530" w:rsidRPr="00150DE2">
        <w:rPr>
          <w:rFonts w:ascii="Arial" w:hAnsi="Arial" w:cs="Arial"/>
          <w:snapToGrid w:val="0"/>
          <w:sz w:val="20"/>
        </w:rPr>
        <w:t xml:space="preserve"> </w:t>
      </w:r>
      <w:r w:rsidR="00685B60" w:rsidRPr="00150DE2">
        <w:rPr>
          <w:rFonts w:ascii="Arial" w:hAnsi="Arial" w:cs="Arial"/>
          <w:snapToGrid w:val="0"/>
          <w:sz w:val="20"/>
        </w:rPr>
        <w:t>l’esposizione</w:t>
      </w:r>
      <w:r w:rsidR="00840369" w:rsidRPr="00150DE2">
        <w:rPr>
          <w:rFonts w:ascii="Arial" w:hAnsi="Arial" w:cs="Arial"/>
          <w:snapToGrid w:val="0"/>
          <w:sz w:val="20"/>
        </w:rPr>
        <w:t xml:space="preserve"> debitoria del</w:t>
      </w:r>
      <w:r w:rsidR="00140164">
        <w:rPr>
          <w:rFonts w:ascii="Arial" w:hAnsi="Arial" w:cs="Arial"/>
          <w:snapToGrid w:val="0"/>
          <w:sz w:val="20"/>
        </w:rPr>
        <w:t xml:space="preserve"> Gruppo</w:t>
      </w:r>
      <w:r w:rsidR="00840369" w:rsidRPr="00150DE2">
        <w:rPr>
          <w:rFonts w:ascii="Arial" w:hAnsi="Arial" w:cs="Arial"/>
          <w:snapToGrid w:val="0"/>
          <w:sz w:val="20"/>
        </w:rPr>
        <w:t xml:space="preserve"> verso gli istituti di credito.</w:t>
      </w:r>
      <w:r w:rsidR="00521BC7" w:rsidRPr="00150DE2">
        <w:rPr>
          <w:rFonts w:ascii="Arial" w:hAnsi="Arial" w:cs="Arial"/>
          <w:snapToGrid w:val="0"/>
          <w:sz w:val="20"/>
        </w:rPr>
        <w:t xml:space="preserve"> </w:t>
      </w:r>
      <w:r w:rsidR="00685B60">
        <w:rPr>
          <w:rFonts w:ascii="Arial" w:hAnsi="Arial" w:cs="Arial"/>
          <w:snapToGrid w:val="0"/>
          <w:sz w:val="20"/>
        </w:rPr>
        <w:t xml:space="preserve">Il decremento </w:t>
      </w:r>
      <w:r w:rsidR="00685B60" w:rsidRPr="00150DE2">
        <w:rPr>
          <w:rFonts w:ascii="Arial" w:hAnsi="Arial" w:cs="Arial"/>
          <w:snapToGrid w:val="0"/>
          <w:sz w:val="20"/>
        </w:rPr>
        <w:t>dei</w:t>
      </w:r>
      <w:r w:rsidR="00904530" w:rsidRPr="00150DE2">
        <w:rPr>
          <w:rFonts w:ascii="Arial" w:hAnsi="Arial" w:cs="Arial"/>
          <w:snapToGrid w:val="0"/>
          <w:sz w:val="20"/>
        </w:rPr>
        <w:t xml:space="preserve"> debiti a breve </w:t>
      </w:r>
      <w:r w:rsidR="008221EF">
        <w:rPr>
          <w:rFonts w:ascii="Arial" w:hAnsi="Arial" w:cs="Arial"/>
          <w:snapToGrid w:val="0"/>
          <w:sz w:val="20"/>
        </w:rPr>
        <w:t xml:space="preserve">verso le banche appare </w:t>
      </w:r>
      <w:r w:rsidR="00685B60">
        <w:rPr>
          <w:rFonts w:ascii="Arial" w:hAnsi="Arial" w:cs="Arial"/>
          <w:snapToGrid w:val="0"/>
          <w:sz w:val="20"/>
        </w:rPr>
        <w:t xml:space="preserve">molto </w:t>
      </w:r>
      <w:r w:rsidR="008221EF">
        <w:rPr>
          <w:rFonts w:ascii="Arial" w:hAnsi="Arial" w:cs="Arial"/>
          <w:snapToGrid w:val="0"/>
          <w:sz w:val="20"/>
        </w:rPr>
        <w:t xml:space="preserve">significativo ed </w:t>
      </w:r>
      <w:r w:rsidR="00884711" w:rsidRPr="00150DE2">
        <w:rPr>
          <w:rFonts w:ascii="Arial" w:hAnsi="Arial" w:cs="Arial"/>
          <w:snapToGrid w:val="0"/>
          <w:sz w:val="20"/>
        </w:rPr>
        <w:t>è legat</w:t>
      </w:r>
      <w:r w:rsidR="00685B60">
        <w:rPr>
          <w:rFonts w:ascii="Arial" w:hAnsi="Arial" w:cs="Arial"/>
          <w:snapToGrid w:val="0"/>
          <w:sz w:val="20"/>
        </w:rPr>
        <w:t>o</w:t>
      </w:r>
      <w:r w:rsidR="00884711" w:rsidRPr="00150DE2">
        <w:rPr>
          <w:rFonts w:ascii="Arial" w:hAnsi="Arial" w:cs="Arial"/>
          <w:snapToGrid w:val="0"/>
          <w:sz w:val="20"/>
        </w:rPr>
        <w:t xml:space="preserve"> </w:t>
      </w:r>
      <w:r w:rsidR="00685B60">
        <w:rPr>
          <w:rFonts w:ascii="Arial" w:hAnsi="Arial" w:cs="Arial"/>
          <w:snapToGrid w:val="0"/>
          <w:sz w:val="20"/>
        </w:rPr>
        <w:t xml:space="preserve">al decremento </w:t>
      </w:r>
      <w:r w:rsidR="00884711" w:rsidRPr="00150DE2">
        <w:rPr>
          <w:rFonts w:ascii="Arial" w:hAnsi="Arial" w:cs="Arial"/>
          <w:snapToGrid w:val="0"/>
          <w:sz w:val="20"/>
        </w:rPr>
        <w:t xml:space="preserve">dell’esposizione debitoria dell’ANM verso il sistema creditizio. </w:t>
      </w:r>
    </w:p>
    <w:p w14:paraId="4E8FA431" w14:textId="7A4E6D44" w:rsidR="00685B60" w:rsidRPr="00685B60" w:rsidRDefault="00685B60" w:rsidP="00685B60">
      <w:pPr>
        <w:widowControl w:val="0"/>
        <w:tabs>
          <w:tab w:val="left" w:pos="1080"/>
        </w:tabs>
        <w:spacing w:before="120" w:after="120"/>
        <w:jc w:val="both"/>
        <w:rPr>
          <w:rFonts w:ascii="Arial" w:hAnsi="Arial" w:cs="Arial"/>
          <w:snapToGrid w:val="0"/>
          <w:sz w:val="20"/>
        </w:rPr>
      </w:pPr>
      <w:r w:rsidRPr="00685B60">
        <w:rPr>
          <w:rFonts w:ascii="Arial" w:hAnsi="Arial" w:cs="Arial"/>
          <w:snapToGrid w:val="0"/>
          <w:sz w:val="20"/>
        </w:rPr>
        <w:t xml:space="preserve">Nell’importo </w:t>
      </w:r>
      <w:r w:rsidR="00FA68F4">
        <w:rPr>
          <w:rFonts w:ascii="Arial" w:hAnsi="Arial" w:cs="Arial"/>
          <w:snapToGrid w:val="0"/>
          <w:sz w:val="20"/>
        </w:rPr>
        <w:t xml:space="preserve">esigibile entro l’esercizio successivo </w:t>
      </w:r>
      <w:r w:rsidRPr="00685B60">
        <w:rPr>
          <w:rFonts w:ascii="Arial" w:hAnsi="Arial" w:cs="Arial"/>
          <w:snapToGrid w:val="0"/>
          <w:sz w:val="20"/>
        </w:rPr>
        <w:t xml:space="preserve">è ricompreso il residuo del mutuo ventennale di originari 5.000 €/000 contratto con la BNL nel 2006 per l’acquisizione della ex sede sociale di Metronapoli, il cui rimborso avviene mediante il pagamento di rate semestrali. Esso è assistito da garanzia reale (ipoteca) su beni sociali. Il tasso di interesse applicato è pari all’ERIBOR a 6 mesi maggiorato dello spread dello 0,8% a semestre. In applicazione del suddetto tasso, </w:t>
      </w:r>
      <w:r w:rsidR="002A4703">
        <w:rPr>
          <w:rFonts w:ascii="Arial" w:hAnsi="Arial" w:cs="Arial"/>
          <w:snapToGrid w:val="0"/>
          <w:sz w:val="20"/>
        </w:rPr>
        <w:t>il Gruppo</w:t>
      </w:r>
      <w:r w:rsidRPr="00685B60">
        <w:rPr>
          <w:rFonts w:ascii="Arial" w:hAnsi="Arial" w:cs="Arial"/>
          <w:snapToGrid w:val="0"/>
          <w:sz w:val="20"/>
        </w:rPr>
        <w:t xml:space="preserve"> ha stimato interessi per il 2019 pari a 10 €/000. </w:t>
      </w:r>
    </w:p>
    <w:p w14:paraId="779ADB71" w14:textId="76DB0471" w:rsidR="00685B60" w:rsidRDefault="00FA68F4" w:rsidP="00685B60">
      <w:pPr>
        <w:widowControl w:val="0"/>
        <w:tabs>
          <w:tab w:val="left" w:pos="1080"/>
        </w:tabs>
        <w:spacing w:before="120" w:after="120"/>
        <w:jc w:val="both"/>
        <w:rPr>
          <w:rFonts w:ascii="Arial" w:hAnsi="Arial" w:cs="Arial"/>
          <w:snapToGrid w:val="0"/>
          <w:sz w:val="20"/>
        </w:rPr>
      </w:pPr>
      <w:r>
        <w:rPr>
          <w:rFonts w:ascii="Arial" w:hAnsi="Arial" w:cs="Arial"/>
          <w:snapToGrid w:val="0"/>
          <w:sz w:val="20"/>
        </w:rPr>
        <w:t>La voce debiti verso banche esigibile oltre l’esercizio successivo comprende l</w:t>
      </w:r>
      <w:r w:rsidR="00685B60" w:rsidRPr="00685B60">
        <w:rPr>
          <w:rFonts w:ascii="Arial" w:hAnsi="Arial" w:cs="Arial"/>
          <w:snapToGrid w:val="0"/>
          <w:sz w:val="20"/>
        </w:rPr>
        <w:t>a debenza verso MPS</w:t>
      </w:r>
      <w:r>
        <w:rPr>
          <w:rFonts w:ascii="Arial" w:hAnsi="Arial" w:cs="Arial"/>
          <w:snapToGrid w:val="0"/>
          <w:sz w:val="20"/>
        </w:rPr>
        <w:t>,</w:t>
      </w:r>
      <w:r w:rsidR="00685B60" w:rsidRPr="00685B60">
        <w:rPr>
          <w:rFonts w:ascii="Arial" w:hAnsi="Arial" w:cs="Arial"/>
          <w:snapToGrid w:val="0"/>
          <w:sz w:val="20"/>
        </w:rPr>
        <w:t xml:space="preserve"> stralciata per 2.834 </w:t>
      </w:r>
      <w:r>
        <w:rPr>
          <w:rFonts w:ascii="Arial" w:hAnsi="Arial" w:cs="Arial"/>
          <w:i/>
          <w:snapToGrid w:val="0"/>
          <w:sz w:val="20"/>
        </w:rPr>
        <w:t>€/000</w:t>
      </w:r>
      <w:r>
        <w:rPr>
          <w:rFonts w:ascii="Arial" w:hAnsi="Arial" w:cs="Arial"/>
          <w:snapToGrid w:val="0"/>
          <w:sz w:val="20"/>
        </w:rPr>
        <w:t xml:space="preserve"> </w:t>
      </w:r>
      <w:r w:rsidR="00685B60" w:rsidRPr="00685B60">
        <w:rPr>
          <w:rFonts w:ascii="Arial" w:hAnsi="Arial" w:cs="Arial"/>
          <w:snapToGrid w:val="0"/>
          <w:sz w:val="20"/>
        </w:rPr>
        <w:t>per riflettere l’importo entrato nella massa concordataria, la cui percentuale di soddisfo stabilita dal piano è del 58 %, e di cui si fornirà dettaglio in seguito per la sopravvenienza attiva da stralcio.</w:t>
      </w:r>
    </w:p>
    <w:p w14:paraId="0AE1709F" w14:textId="77777777" w:rsidR="00FA68F4" w:rsidRPr="00685B60" w:rsidRDefault="00FA68F4" w:rsidP="00685B60">
      <w:pPr>
        <w:widowControl w:val="0"/>
        <w:tabs>
          <w:tab w:val="left" w:pos="1080"/>
        </w:tabs>
        <w:spacing w:before="120" w:after="120"/>
        <w:jc w:val="both"/>
        <w:rPr>
          <w:rFonts w:ascii="Arial" w:hAnsi="Arial" w:cs="Arial"/>
          <w:snapToGrid w:val="0"/>
          <w:sz w:val="20"/>
        </w:rPr>
      </w:pPr>
    </w:p>
    <w:p w14:paraId="05AA2CE7" w14:textId="77777777" w:rsidR="00EE4AF0" w:rsidRPr="00150DE2" w:rsidRDefault="00EE4AF0" w:rsidP="002D4D1D">
      <w:pPr>
        <w:widowControl w:val="0"/>
        <w:tabs>
          <w:tab w:val="left" w:pos="1080"/>
        </w:tabs>
        <w:spacing w:before="120" w:after="120"/>
        <w:jc w:val="both"/>
        <w:rPr>
          <w:rFonts w:ascii="Arial" w:hAnsi="Arial" w:cs="Arial"/>
          <w:b/>
          <w:snapToGrid w:val="0"/>
          <w:sz w:val="20"/>
          <w:u w:val="single"/>
        </w:rPr>
      </w:pPr>
      <w:r w:rsidRPr="00150DE2">
        <w:rPr>
          <w:rFonts w:ascii="Arial" w:hAnsi="Arial" w:cs="Arial"/>
          <w:b/>
          <w:snapToGrid w:val="0"/>
          <w:sz w:val="20"/>
          <w:u w:val="single"/>
        </w:rPr>
        <w:t>Debiti verso fornitori</w:t>
      </w:r>
    </w:p>
    <w:p w14:paraId="6C8942AD" w14:textId="4B465B16" w:rsidR="00884711" w:rsidRDefault="00EE4AF0" w:rsidP="002D4D1D">
      <w:pPr>
        <w:widowControl w:val="0"/>
        <w:tabs>
          <w:tab w:val="left" w:pos="1080"/>
        </w:tabs>
        <w:spacing w:before="120" w:after="120"/>
        <w:jc w:val="both"/>
        <w:rPr>
          <w:rFonts w:ascii="Arial" w:hAnsi="Arial" w:cs="Arial"/>
          <w:snapToGrid w:val="0"/>
          <w:sz w:val="20"/>
        </w:rPr>
      </w:pPr>
      <w:r w:rsidRPr="00150DE2">
        <w:rPr>
          <w:rFonts w:ascii="Arial" w:hAnsi="Arial" w:cs="Arial"/>
          <w:snapToGrid w:val="0"/>
          <w:sz w:val="20"/>
        </w:rPr>
        <w:t>La voce “Debiti verso fornitori” è iscritta al netto degli sconti commerciali ed è comprensiva degli importi per fatture da ricevere per prestazioni e/o acquisti ricevuti a tutto il 31.12.201</w:t>
      </w:r>
      <w:r w:rsidR="00685B60">
        <w:rPr>
          <w:rFonts w:ascii="Arial" w:hAnsi="Arial" w:cs="Arial"/>
          <w:snapToGrid w:val="0"/>
          <w:sz w:val="20"/>
        </w:rPr>
        <w:t>9</w:t>
      </w:r>
      <w:r w:rsidR="002B283A" w:rsidRPr="00150DE2">
        <w:rPr>
          <w:rFonts w:ascii="Arial" w:hAnsi="Arial" w:cs="Arial"/>
          <w:snapToGrid w:val="0"/>
          <w:sz w:val="20"/>
        </w:rPr>
        <w:t xml:space="preserve"> e riguarda essenzialmente l’esposizione debitoria della Controllata</w:t>
      </w:r>
      <w:r w:rsidR="00FA68F4">
        <w:rPr>
          <w:rFonts w:ascii="Arial" w:hAnsi="Arial" w:cs="Arial"/>
          <w:snapToGrid w:val="0"/>
          <w:sz w:val="20"/>
        </w:rPr>
        <w:t>, esposta al netto dello stralcio,</w:t>
      </w:r>
      <w:r w:rsidR="00FA68F4" w:rsidRPr="00FA68F4">
        <w:rPr>
          <w:rFonts w:ascii="Arial" w:hAnsi="Arial" w:cs="Arial"/>
          <w:snapToGrid w:val="0"/>
          <w:sz w:val="20"/>
        </w:rPr>
        <w:t xml:space="preserve"> per  l’importo di 18.181 </w:t>
      </w:r>
      <w:r w:rsidR="00FA68F4">
        <w:rPr>
          <w:rFonts w:ascii="Arial" w:hAnsi="Arial" w:cs="Arial"/>
          <w:snapToGrid w:val="0"/>
          <w:sz w:val="20"/>
        </w:rPr>
        <w:t>€/000,</w:t>
      </w:r>
      <w:r w:rsidR="00FA68F4" w:rsidRPr="00FA68F4">
        <w:rPr>
          <w:rFonts w:ascii="Arial" w:hAnsi="Arial" w:cs="Arial"/>
          <w:snapToGrid w:val="0"/>
          <w:sz w:val="20"/>
        </w:rPr>
        <w:t xml:space="preserve">  per riflettere la debenza entrata nella massa concordataria, la cui percentuale di soddisfo stabilita dal piano è del 62,7% (chirografari CLASSE 2)</w:t>
      </w:r>
      <w:r w:rsidR="00FA68F4">
        <w:rPr>
          <w:rFonts w:ascii="Arial" w:hAnsi="Arial" w:cs="Arial"/>
          <w:snapToGrid w:val="0"/>
          <w:sz w:val="20"/>
        </w:rPr>
        <w:t>.</w:t>
      </w:r>
    </w:p>
    <w:p w14:paraId="68CFDFDB" w14:textId="77777777" w:rsidR="00FA68F4" w:rsidRPr="00150DE2" w:rsidRDefault="00FA68F4" w:rsidP="002D4D1D">
      <w:pPr>
        <w:widowControl w:val="0"/>
        <w:tabs>
          <w:tab w:val="left" w:pos="1080"/>
        </w:tabs>
        <w:spacing w:before="120" w:after="120"/>
        <w:jc w:val="both"/>
        <w:rPr>
          <w:rFonts w:ascii="Arial" w:hAnsi="Arial" w:cs="Arial"/>
          <w:snapToGrid w:val="0"/>
          <w:sz w:val="20"/>
        </w:rPr>
      </w:pPr>
    </w:p>
    <w:p w14:paraId="09CBBBE3" w14:textId="77777777" w:rsidR="00445347" w:rsidRPr="005056C8" w:rsidRDefault="00445347" w:rsidP="002D4D1D">
      <w:pPr>
        <w:widowControl w:val="0"/>
        <w:tabs>
          <w:tab w:val="left" w:pos="1080"/>
        </w:tabs>
        <w:spacing w:before="120" w:after="120"/>
        <w:jc w:val="both"/>
        <w:rPr>
          <w:rFonts w:ascii="Arial" w:hAnsi="Arial" w:cs="Arial"/>
          <w:b/>
          <w:snapToGrid w:val="0"/>
          <w:sz w:val="20"/>
          <w:u w:val="single"/>
        </w:rPr>
      </w:pPr>
      <w:r w:rsidRPr="005056C8">
        <w:rPr>
          <w:rFonts w:ascii="Arial" w:hAnsi="Arial" w:cs="Arial"/>
          <w:b/>
          <w:snapToGrid w:val="0"/>
          <w:sz w:val="20"/>
          <w:u w:val="single"/>
        </w:rPr>
        <w:t>Debiti verso collegate</w:t>
      </w:r>
    </w:p>
    <w:p w14:paraId="67F3B972" w14:textId="77777777" w:rsidR="00885F59" w:rsidRDefault="00885F59" w:rsidP="002D4D1D">
      <w:pPr>
        <w:widowControl w:val="0"/>
        <w:tabs>
          <w:tab w:val="left" w:pos="1080"/>
        </w:tabs>
        <w:spacing w:before="120" w:after="120"/>
        <w:jc w:val="both"/>
        <w:rPr>
          <w:rFonts w:ascii="Arial" w:hAnsi="Arial" w:cs="Arial"/>
          <w:snapToGrid w:val="0"/>
          <w:sz w:val="20"/>
        </w:rPr>
      </w:pPr>
      <w:r w:rsidRPr="00885F59">
        <w:rPr>
          <w:rFonts w:ascii="Arial" w:hAnsi="Arial" w:cs="Arial"/>
          <w:snapToGrid w:val="0"/>
          <w:sz w:val="20"/>
        </w:rPr>
        <w:t>Tale voce accoglie i debiti per fatture e fatture ancora da ricevere al netto delle N/C relative ai costi di partecipazione</w:t>
      </w:r>
      <w:r>
        <w:rPr>
          <w:rFonts w:ascii="Arial" w:hAnsi="Arial" w:cs="Arial"/>
          <w:snapToGrid w:val="0"/>
          <w:sz w:val="20"/>
        </w:rPr>
        <w:t xml:space="preserve"> della ANM </w:t>
      </w:r>
      <w:r w:rsidRPr="00885F59">
        <w:rPr>
          <w:rFonts w:ascii="Arial" w:hAnsi="Arial" w:cs="Arial"/>
          <w:snapToGrid w:val="0"/>
          <w:sz w:val="20"/>
        </w:rPr>
        <w:t>al Consorzio. Le fatture e le note credito da ricevere stanziate al 31 dicembre 201</w:t>
      </w:r>
      <w:r w:rsidR="00685B60">
        <w:rPr>
          <w:rFonts w:ascii="Arial" w:hAnsi="Arial" w:cs="Arial"/>
          <w:snapToGrid w:val="0"/>
          <w:sz w:val="20"/>
        </w:rPr>
        <w:t>9</w:t>
      </w:r>
      <w:r w:rsidRPr="00885F59">
        <w:rPr>
          <w:rFonts w:ascii="Arial" w:hAnsi="Arial" w:cs="Arial"/>
          <w:snapToGrid w:val="0"/>
          <w:sz w:val="20"/>
        </w:rPr>
        <w:t xml:space="preserve"> risultano pervenute successivamente alla chiusura dell’esercizio</w:t>
      </w:r>
      <w:r w:rsidR="00FA649F">
        <w:rPr>
          <w:rFonts w:ascii="Arial" w:hAnsi="Arial" w:cs="Arial"/>
          <w:snapToGrid w:val="0"/>
          <w:sz w:val="20"/>
        </w:rPr>
        <w:t>.</w:t>
      </w:r>
    </w:p>
    <w:p w14:paraId="0C1E3D48" w14:textId="77777777" w:rsidR="00FA68F4" w:rsidRDefault="00FA68F4" w:rsidP="002D4D1D">
      <w:pPr>
        <w:widowControl w:val="0"/>
        <w:tabs>
          <w:tab w:val="left" w:pos="1080"/>
        </w:tabs>
        <w:spacing w:before="120" w:after="120"/>
        <w:jc w:val="both"/>
        <w:rPr>
          <w:rFonts w:ascii="Arial" w:hAnsi="Arial" w:cs="Arial"/>
          <w:snapToGrid w:val="0"/>
          <w:sz w:val="20"/>
        </w:rPr>
      </w:pPr>
    </w:p>
    <w:p w14:paraId="7F21B816" w14:textId="77777777" w:rsidR="00EE4AF0" w:rsidRPr="005056C8" w:rsidRDefault="00EE4AF0" w:rsidP="002D4D1D">
      <w:pPr>
        <w:widowControl w:val="0"/>
        <w:tabs>
          <w:tab w:val="left" w:pos="1080"/>
        </w:tabs>
        <w:spacing w:before="120" w:after="120"/>
        <w:jc w:val="both"/>
        <w:rPr>
          <w:rFonts w:ascii="Arial" w:hAnsi="Arial" w:cs="Arial"/>
          <w:b/>
          <w:snapToGrid w:val="0"/>
          <w:sz w:val="20"/>
          <w:u w:val="single"/>
        </w:rPr>
      </w:pPr>
      <w:r w:rsidRPr="005056C8">
        <w:rPr>
          <w:rFonts w:ascii="Arial" w:hAnsi="Arial" w:cs="Arial"/>
          <w:b/>
          <w:snapToGrid w:val="0"/>
          <w:sz w:val="20"/>
          <w:u w:val="single"/>
        </w:rPr>
        <w:t>Debiti verso controllanti</w:t>
      </w:r>
    </w:p>
    <w:p w14:paraId="4BA02864" w14:textId="77777777" w:rsidR="001D2553" w:rsidRDefault="001D2553" w:rsidP="002D4D1D">
      <w:pPr>
        <w:widowControl w:val="0"/>
        <w:tabs>
          <w:tab w:val="left" w:pos="1080"/>
        </w:tabs>
        <w:spacing w:before="120" w:after="120"/>
        <w:jc w:val="both"/>
        <w:rPr>
          <w:rFonts w:ascii="Arial" w:hAnsi="Arial" w:cs="Arial"/>
          <w:snapToGrid w:val="0"/>
          <w:sz w:val="20"/>
        </w:rPr>
      </w:pPr>
      <w:r w:rsidRPr="005056C8">
        <w:rPr>
          <w:rFonts w:ascii="Arial" w:hAnsi="Arial" w:cs="Arial"/>
          <w:snapToGrid w:val="0"/>
          <w:sz w:val="20"/>
        </w:rPr>
        <w:t>La voce interessa i debiti che il Gruppo ha nei riguardi dell’Amministrazione Comunale</w:t>
      </w:r>
      <w:r w:rsidR="00885F59">
        <w:rPr>
          <w:rFonts w:ascii="Arial" w:hAnsi="Arial" w:cs="Arial"/>
          <w:snapToGrid w:val="0"/>
          <w:sz w:val="20"/>
        </w:rPr>
        <w:t>.</w:t>
      </w:r>
      <w:r w:rsidRPr="005056C8">
        <w:rPr>
          <w:rFonts w:ascii="Arial" w:hAnsi="Arial" w:cs="Arial"/>
          <w:snapToGrid w:val="0"/>
          <w:sz w:val="20"/>
        </w:rPr>
        <w:t xml:space="preserve"> </w:t>
      </w:r>
      <w:r w:rsidR="00261C43" w:rsidRPr="005056C8">
        <w:rPr>
          <w:rFonts w:ascii="Arial" w:hAnsi="Arial" w:cs="Arial"/>
          <w:snapToGrid w:val="0"/>
          <w:sz w:val="20"/>
        </w:rPr>
        <w:t>Di seguito si riportano le principali voci di debito verso il Comune di Napoli: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2382"/>
        <w:gridCol w:w="2826"/>
      </w:tblGrid>
      <w:tr w:rsidR="006A411C" w:rsidRPr="00773847" w14:paraId="125D6663" w14:textId="77777777" w:rsidTr="006A411C">
        <w:tc>
          <w:tcPr>
            <w:tcW w:w="3261" w:type="dxa"/>
            <w:shd w:val="clear" w:color="auto" w:fill="auto"/>
          </w:tcPr>
          <w:p w14:paraId="5A3A5CAB" w14:textId="3E9059BF" w:rsidR="006A411C" w:rsidRPr="008B3BFA" w:rsidRDefault="00100B08" w:rsidP="006A411C">
            <w:pPr>
              <w:pStyle w:val="Intestazione"/>
              <w:tabs>
                <w:tab w:val="clear" w:pos="4819"/>
                <w:tab w:val="clear" w:pos="9638"/>
              </w:tabs>
              <w:spacing w:line="240" w:lineRule="exact"/>
              <w:jc w:val="both"/>
              <w:rPr>
                <w:b/>
                <w:bCs/>
              </w:rPr>
            </w:pPr>
            <w:r w:rsidRPr="008B3BFA">
              <w:rPr>
                <w:b/>
                <w:bCs/>
              </w:rPr>
              <w:t>Valori in Euro/migliaia</w:t>
            </w:r>
          </w:p>
        </w:tc>
        <w:tc>
          <w:tcPr>
            <w:tcW w:w="2439" w:type="dxa"/>
          </w:tcPr>
          <w:p w14:paraId="0C01EBE2" w14:textId="77777777" w:rsidR="006A411C" w:rsidRPr="00211F73" w:rsidRDefault="006A411C" w:rsidP="006A411C">
            <w:pPr>
              <w:pStyle w:val="Intestazione"/>
              <w:tabs>
                <w:tab w:val="clear" w:pos="4819"/>
                <w:tab w:val="clear" w:pos="9638"/>
              </w:tabs>
              <w:spacing w:line="240" w:lineRule="exact"/>
              <w:jc w:val="center"/>
              <w:rPr>
                <w:b/>
                <w:bCs/>
              </w:rPr>
            </w:pPr>
            <w:r w:rsidRPr="00211F73">
              <w:rPr>
                <w:b/>
                <w:bCs/>
              </w:rPr>
              <w:t>31/12/2019</w:t>
            </w:r>
          </w:p>
        </w:tc>
        <w:tc>
          <w:tcPr>
            <w:tcW w:w="2913" w:type="dxa"/>
            <w:shd w:val="clear" w:color="auto" w:fill="auto"/>
          </w:tcPr>
          <w:p w14:paraId="40C2F5D3" w14:textId="77777777" w:rsidR="006A411C" w:rsidRPr="001629CA" w:rsidRDefault="006A411C" w:rsidP="006A411C">
            <w:pPr>
              <w:pStyle w:val="Intestazione"/>
              <w:tabs>
                <w:tab w:val="clear" w:pos="4819"/>
                <w:tab w:val="clear" w:pos="9638"/>
              </w:tabs>
              <w:spacing w:line="240" w:lineRule="exact"/>
              <w:jc w:val="center"/>
              <w:rPr>
                <w:b/>
              </w:rPr>
            </w:pPr>
            <w:r w:rsidRPr="001629CA">
              <w:rPr>
                <w:b/>
              </w:rPr>
              <w:t>31/12/18</w:t>
            </w:r>
          </w:p>
        </w:tc>
      </w:tr>
      <w:tr w:rsidR="006A411C" w:rsidRPr="00773847" w14:paraId="5F0FA978" w14:textId="77777777" w:rsidTr="006A411C">
        <w:tc>
          <w:tcPr>
            <w:tcW w:w="3261" w:type="dxa"/>
            <w:shd w:val="clear" w:color="auto" w:fill="auto"/>
          </w:tcPr>
          <w:p w14:paraId="242DA96D" w14:textId="77777777" w:rsidR="006A411C" w:rsidRPr="00D47821" w:rsidRDefault="006A411C" w:rsidP="006A411C">
            <w:pPr>
              <w:pStyle w:val="Intestazione"/>
              <w:tabs>
                <w:tab w:val="clear" w:pos="4819"/>
                <w:tab w:val="clear" w:pos="9638"/>
              </w:tabs>
              <w:spacing w:line="240" w:lineRule="exact"/>
              <w:jc w:val="both"/>
            </w:pPr>
            <w:r w:rsidRPr="00D47821">
              <w:t>Anticipi ricevuti</w:t>
            </w:r>
          </w:p>
        </w:tc>
        <w:tc>
          <w:tcPr>
            <w:tcW w:w="2439" w:type="dxa"/>
          </w:tcPr>
          <w:p w14:paraId="06C97CB0" w14:textId="77777777" w:rsidR="006A411C" w:rsidRDefault="006A411C" w:rsidP="006A411C">
            <w:pPr>
              <w:pStyle w:val="Intestazione"/>
              <w:tabs>
                <w:tab w:val="clear" w:pos="4819"/>
                <w:tab w:val="clear" w:pos="9638"/>
              </w:tabs>
              <w:spacing w:line="240" w:lineRule="exact"/>
              <w:jc w:val="right"/>
            </w:pPr>
            <w:r w:rsidRPr="00DD284D">
              <w:t>2.088</w:t>
            </w:r>
          </w:p>
        </w:tc>
        <w:tc>
          <w:tcPr>
            <w:tcW w:w="2913" w:type="dxa"/>
            <w:shd w:val="clear" w:color="auto" w:fill="auto"/>
          </w:tcPr>
          <w:p w14:paraId="7AC1275A" w14:textId="77777777" w:rsidR="006A411C" w:rsidRPr="00D47821" w:rsidRDefault="006A411C" w:rsidP="006A411C">
            <w:pPr>
              <w:pStyle w:val="Intestazione"/>
              <w:tabs>
                <w:tab w:val="clear" w:pos="4819"/>
                <w:tab w:val="clear" w:pos="9638"/>
              </w:tabs>
              <w:spacing w:line="240" w:lineRule="exact"/>
              <w:jc w:val="right"/>
            </w:pPr>
            <w:r>
              <w:t>2</w:t>
            </w:r>
            <w:r w:rsidRPr="00D47821">
              <w:t>.088</w:t>
            </w:r>
          </w:p>
        </w:tc>
      </w:tr>
      <w:tr w:rsidR="006A411C" w:rsidRPr="00773847" w14:paraId="13A155F7" w14:textId="77777777" w:rsidTr="006A411C">
        <w:tc>
          <w:tcPr>
            <w:tcW w:w="3261" w:type="dxa"/>
            <w:shd w:val="clear" w:color="auto" w:fill="auto"/>
          </w:tcPr>
          <w:p w14:paraId="76E55182" w14:textId="77777777" w:rsidR="006A411C" w:rsidRPr="00D47821" w:rsidRDefault="006A411C" w:rsidP="006A411C">
            <w:pPr>
              <w:pStyle w:val="Intestazione"/>
              <w:tabs>
                <w:tab w:val="clear" w:pos="4819"/>
                <w:tab w:val="clear" w:pos="9638"/>
              </w:tabs>
              <w:spacing w:line="240" w:lineRule="exact"/>
              <w:jc w:val="both"/>
            </w:pPr>
            <w:r w:rsidRPr="00D47821">
              <w:t>Valori permuta e canoni locazione</w:t>
            </w:r>
          </w:p>
        </w:tc>
        <w:tc>
          <w:tcPr>
            <w:tcW w:w="2439" w:type="dxa"/>
          </w:tcPr>
          <w:p w14:paraId="5674DE2A" w14:textId="77777777" w:rsidR="006A411C" w:rsidRPr="00D47821" w:rsidRDefault="006A411C" w:rsidP="006A411C">
            <w:pPr>
              <w:pStyle w:val="Intestazione"/>
              <w:tabs>
                <w:tab w:val="clear" w:pos="4819"/>
                <w:tab w:val="clear" w:pos="9638"/>
              </w:tabs>
              <w:spacing w:line="240" w:lineRule="exact"/>
              <w:jc w:val="right"/>
            </w:pPr>
            <w:r w:rsidRPr="00DD284D">
              <w:t>244</w:t>
            </w:r>
          </w:p>
        </w:tc>
        <w:tc>
          <w:tcPr>
            <w:tcW w:w="2913" w:type="dxa"/>
            <w:shd w:val="clear" w:color="auto" w:fill="auto"/>
          </w:tcPr>
          <w:p w14:paraId="5C7BC780" w14:textId="77777777" w:rsidR="006A411C" w:rsidRPr="00D47821" w:rsidRDefault="006A411C" w:rsidP="006A411C">
            <w:pPr>
              <w:pStyle w:val="Intestazione"/>
              <w:tabs>
                <w:tab w:val="clear" w:pos="4819"/>
                <w:tab w:val="clear" w:pos="9638"/>
              </w:tabs>
              <w:spacing w:line="240" w:lineRule="exact"/>
              <w:jc w:val="right"/>
            </w:pPr>
            <w:r w:rsidRPr="00D47821">
              <w:t>244</w:t>
            </w:r>
          </w:p>
        </w:tc>
      </w:tr>
      <w:tr w:rsidR="006A411C" w:rsidRPr="00773847" w14:paraId="35EECBA4" w14:textId="77777777" w:rsidTr="006A411C">
        <w:tc>
          <w:tcPr>
            <w:tcW w:w="3261" w:type="dxa"/>
            <w:shd w:val="clear" w:color="auto" w:fill="auto"/>
          </w:tcPr>
          <w:p w14:paraId="2F6B9DC1" w14:textId="77777777" w:rsidR="006A411C" w:rsidRPr="00D47821" w:rsidRDefault="006A411C" w:rsidP="006A411C">
            <w:pPr>
              <w:pStyle w:val="Intestazione"/>
              <w:tabs>
                <w:tab w:val="clear" w:pos="4819"/>
                <w:tab w:val="clear" w:pos="9638"/>
              </w:tabs>
              <w:spacing w:line="240" w:lineRule="exact"/>
              <w:jc w:val="both"/>
            </w:pPr>
            <w:r w:rsidRPr="00D47821">
              <w:t>Ripiano disavanzi l.388/200</w:t>
            </w:r>
          </w:p>
        </w:tc>
        <w:tc>
          <w:tcPr>
            <w:tcW w:w="2439" w:type="dxa"/>
          </w:tcPr>
          <w:p w14:paraId="4E8FB15B" w14:textId="77777777" w:rsidR="006A411C" w:rsidRPr="00D47821" w:rsidRDefault="006A411C" w:rsidP="006A411C">
            <w:pPr>
              <w:pStyle w:val="Intestazione"/>
              <w:tabs>
                <w:tab w:val="clear" w:pos="4819"/>
                <w:tab w:val="clear" w:pos="9638"/>
              </w:tabs>
              <w:spacing w:line="240" w:lineRule="exact"/>
              <w:jc w:val="right"/>
            </w:pPr>
            <w:r w:rsidRPr="00DD284D">
              <w:t>1.498</w:t>
            </w:r>
          </w:p>
        </w:tc>
        <w:tc>
          <w:tcPr>
            <w:tcW w:w="2913" w:type="dxa"/>
            <w:shd w:val="clear" w:color="auto" w:fill="auto"/>
          </w:tcPr>
          <w:p w14:paraId="7993CB65" w14:textId="77777777" w:rsidR="006A411C" w:rsidRPr="00D47821" w:rsidRDefault="006A411C" w:rsidP="006A411C">
            <w:pPr>
              <w:pStyle w:val="Intestazione"/>
              <w:tabs>
                <w:tab w:val="clear" w:pos="4819"/>
                <w:tab w:val="clear" w:pos="9638"/>
              </w:tabs>
              <w:spacing w:line="240" w:lineRule="exact"/>
              <w:jc w:val="right"/>
            </w:pPr>
            <w:r w:rsidRPr="00D47821">
              <w:t>1.498</w:t>
            </w:r>
          </w:p>
        </w:tc>
      </w:tr>
      <w:tr w:rsidR="006A411C" w:rsidRPr="00773847" w14:paraId="425CA178" w14:textId="77777777" w:rsidTr="006A411C">
        <w:tc>
          <w:tcPr>
            <w:tcW w:w="3261" w:type="dxa"/>
            <w:shd w:val="clear" w:color="auto" w:fill="auto"/>
          </w:tcPr>
          <w:p w14:paraId="2507266D" w14:textId="77777777" w:rsidR="006A411C" w:rsidRPr="00D47821" w:rsidRDefault="006A411C" w:rsidP="006A411C">
            <w:pPr>
              <w:pStyle w:val="Intestazione"/>
              <w:tabs>
                <w:tab w:val="clear" w:pos="4819"/>
                <w:tab w:val="clear" w:pos="9638"/>
              </w:tabs>
              <w:spacing w:line="240" w:lineRule="exact"/>
              <w:jc w:val="both"/>
            </w:pPr>
            <w:r w:rsidRPr="00D47821">
              <w:t>Canone noleggio rotabili</w:t>
            </w:r>
          </w:p>
        </w:tc>
        <w:tc>
          <w:tcPr>
            <w:tcW w:w="2439" w:type="dxa"/>
          </w:tcPr>
          <w:p w14:paraId="1E59E0E4" w14:textId="77777777" w:rsidR="006A411C" w:rsidRPr="00D47821" w:rsidRDefault="006A411C" w:rsidP="006A411C">
            <w:pPr>
              <w:pStyle w:val="Intestazione"/>
              <w:tabs>
                <w:tab w:val="clear" w:pos="4819"/>
                <w:tab w:val="clear" w:pos="9638"/>
              </w:tabs>
              <w:spacing w:line="240" w:lineRule="exact"/>
              <w:jc w:val="right"/>
            </w:pPr>
            <w:r w:rsidRPr="00DD284D">
              <w:t>10.818</w:t>
            </w:r>
          </w:p>
        </w:tc>
        <w:tc>
          <w:tcPr>
            <w:tcW w:w="2913" w:type="dxa"/>
            <w:shd w:val="clear" w:color="auto" w:fill="auto"/>
          </w:tcPr>
          <w:p w14:paraId="791554A1" w14:textId="77777777" w:rsidR="006A411C" w:rsidRPr="00D47821" w:rsidRDefault="006A411C" w:rsidP="006A411C">
            <w:pPr>
              <w:pStyle w:val="Intestazione"/>
              <w:tabs>
                <w:tab w:val="clear" w:pos="4819"/>
                <w:tab w:val="clear" w:pos="9638"/>
              </w:tabs>
              <w:spacing w:line="240" w:lineRule="exact"/>
              <w:jc w:val="right"/>
            </w:pPr>
            <w:r w:rsidRPr="00D47821">
              <w:t>8.760</w:t>
            </w:r>
          </w:p>
        </w:tc>
      </w:tr>
      <w:tr w:rsidR="006A411C" w:rsidRPr="00773847" w14:paraId="7DDB8D13" w14:textId="77777777" w:rsidTr="006A411C">
        <w:tc>
          <w:tcPr>
            <w:tcW w:w="3261" w:type="dxa"/>
            <w:shd w:val="clear" w:color="auto" w:fill="auto"/>
          </w:tcPr>
          <w:p w14:paraId="76AB5188" w14:textId="77777777" w:rsidR="006A411C" w:rsidRPr="00D47821" w:rsidRDefault="006A411C" w:rsidP="006A411C">
            <w:pPr>
              <w:pStyle w:val="Intestazione"/>
              <w:tabs>
                <w:tab w:val="clear" w:pos="4819"/>
                <w:tab w:val="clear" w:pos="9638"/>
              </w:tabs>
              <w:spacing w:line="240" w:lineRule="exact"/>
              <w:jc w:val="both"/>
            </w:pPr>
            <w:r w:rsidRPr="00D47821">
              <w:t>Dividendi da corrispondere</w:t>
            </w:r>
          </w:p>
        </w:tc>
        <w:tc>
          <w:tcPr>
            <w:tcW w:w="2439" w:type="dxa"/>
          </w:tcPr>
          <w:p w14:paraId="2563BF8D" w14:textId="77777777" w:rsidR="006A411C" w:rsidRPr="00D47821" w:rsidRDefault="006A411C" w:rsidP="006A411C">
            <w:pPr>
              <w:pStyle w:val="Intestazione"/>
              <w:tabs>
                <w:tab w:val="clear" w:pos="4819"/>
                <w:tab w:val="clear" w:pos="9638"/>
              </w:tabs>
              <w:spacing w:line="240" w:lineRule="exact"/>
              <w:jc w:val="right"/>
            </w:pPr>
            <w:r w:rsidRPr="00DD284D">
              <w:t>262</w:t>
            </w:r>
          </w:p>
        </w:tc>
        <w:tc>
          <w:tcPr>
            <w:tcW w:w="2913" w:type="dxa"/>
            <w:shd w:val="clear" w:color="auto" w:fill="auto"/>
          </w:tcPr>
          <w:p w14:paraId="7EB8427C" w14:textId="77777777" w:rsidR="006A411C" w:rsidRPr="00D47821" w:rsidRDefault="006A411C" w:rsidP="006A411C">
            <w:pPr>
              <w:pStyle w:val="Intestazione"/>
              <w:tabs>
                <w:tab w:val="clear" w:pos="4819"/>
                <w:tab w:val="clear" w:pos="9638"/>
              </w:tabs>
              <w:spacing w:line="240" w:lineRule="exact"/>
              <w:jc w:val="right"/>
            </w:pPr>
            <w:r w:rsidRPr="00D47821">
              <w:t>262</w:t>
            </w:r>
          </w:p>
        </w:tc>
      </w:tr>
      <w:tr w:rsidR="006A411C" w:rsidRPr="00773847" w14:paraId="73DDA68A" w14:textId="77777777" w:rsidTr="006A411C">
        <w:tc>
          <w:tcPr>
            <w:tcW w:w="3261" w:type="dxa"/>
            <w:shd w:val="clear" w:color="auto" w:fill="auto"/>
          </w:tcPr>
          <w:p w14:paraId="6ABFFFD2" w14:textId="77777777" w:rsidR="006A411C" w:rsidRPr="00D47821" w:rsidRDefault="006A411C" w:rsidP="006A411C">
            <w:pPr>
              <w:pStyle w:val="Intestazione"/>
              <w:tabs>
                <w:tab w:val="clear" w:pos="4819"/>
                <w:tab w:val="clear" w:pos="9638"/>
              </w:tabs>
              <w:spacing w:line="240" w:lineRule="exact"/>
              <w:jc w:val="both"/>
            </w:pPr>
            <w:r w:rsidRPr="00D47821">
              <w:t>Canone stalli sosta</w:t>
            </w:r>
          </w:p>
        </w:tc>
        <w:tc>
          <w:tcPr>
            <w:tcW w:w="2439" w:type="dxa"/>
          </w:tcPr>
          <w:p w14:paraId="62C6071C" w14:textId="77777777" w:rsidR="006A411C" w:rsidRPr="00D47821" w:rsidRDefault="006A411C" w:rsidP="006A411C">
            <w:pPr>
              <w:pStyle w:val="Intestazione"/>
              <w:tabs>
                <w:tab w:val="clear" w:pos="4819"/>
                <w:tab w:val="clear" w:pos="9638"/>
              </w:tabs>
              <w:spacing w:line="240" w:lineRule="exact"/>
              <w:jc w:val="right"/>
            </w:pPr>
            <w:r w:rsidRPr="00DD284D">
              <w:t>10.274</w:t>
            </w:r>
          </w:p>
        </w:tc>
        <w:tc>
          <w:tcPr>
            <w:tcW w:w="2913" w:type="dxa"/>
            <w:shd w:val="clear" w:color="auto" w:fill="auto"/>
          </w:tcPr>
          <w:p w14:paraId="620BA59F" w14:textId="77777777" w:rsidR="006A411C" w:rsidRPr="00D47821" w:rsidRDefault="006A411C" w:rsidP="006A411C">
            <w:pPr>
              <w:pStyle w:val="Intestazione"/>
              <w:tabs>
                <w:tab w:val="clear" w:pos="4819"/>
                <w:tab w:val="clear" w:pos="9638"/>
              </w:tabs>
              <w:spacing w:line="240" w:lineRule="exact"/>
              <w:jc w:val="right"/>
            </w:pPr>
            <w:r w:rsidRPr="00D47821">
              <w:t>8.225</w:t>
            </w:r>
          </w:p>
        </w:tc>
      </w:tr>
      <w:tr w:rsidR="006A411C" w:rsidRPr="00773847" w14:paraId="31EBEDB0" w14:textId="77777777" w:rsidTr="006A411C">
        <w:tc>
          <w:tcPr>
            <w:tcW w:w="3261" w:type="dxa"/>
            <w:shd w:val="clear" w:color="auto" w:fill="auto"/>
          </w:tcPr>
          <w:p w14:paraId="194AFDE9" w14:textId="77777777" w:rsidR="006A411C" w:rsidRPr="00D47821" w:rsidRDefault="006A411C" w:rsidP="006A411C">
            <w:pPr>
              <w:pStyle w:val="Intestazione"/>
              <w:tabs>
                <w:tab w:val="clear" w:pos="4819"/>
                <w:tab w:val="clear" w:pos="9638"/>
              </w:tabs>
              <w:spacing w:line="240" w:lineRule="exact"/>
              <w:jc w:val="both"/>
            </w:pPr>
            <w:r w:rsidRPr="00D47821">
              <w:t>Canone servizio ganasce</w:t>
            </w:r>
          </w:p>
        </w:tc>
        <w:tc>
          <w:tcPr>
            <w:tcW w:w="2439" w:type="dxa"/>
          </w:tcPr>
          <w:p w14:paraId="6CFB9E32" w14:textId="77777777" w:rsidR="006A411C" w:rsidRPr="00D47821" w:rsidRDefault="006A411C" w:rsidP="006A411C">
            <w:pPr>
              <w:pStyle w:val="Intestazione"/>
              <w:tabs>
                <w:tab w:val="clear" w:pos="4819"/>
                <w:tab w:val="clear" w:pos="9638"/>
              </w:tabs>
              <w:spacing w:line="240" w:lineRule="exact"/>
              <w:jc w:val="right"/>
            </w:pPr>
            <w:r w:rsidRPr="00DD284D">
              <w:t>47</w:t>
            </w:r>
          </w:p>
        </w:tc>
        <w:tc>
          <w:tcPr>
            <w:tcW w:w="2913" w:type="dxa"/>
            <w:shd w:val="clear" w:color="auto" w:fill="auto"/>
          </w:tcPr>
          <w:p w14:paraId="0BF0DA1B" w14:textId="77777777" w:rsidR="006A411C" w:rsidRPr="00D47821" w:rsidRDefault="006A411C" w:rsidP="006A411C">
            <w:pPr>
              <w:pStyle w:val="Intestazione"/>
              <w:tabs>
                <w:tab w:val="clear" w:pos="4819"/>
                <w:tab w:val="clear" w:pos="9638"/>
              </w:tabs>
              <w:spacing w:line="240" w:lineRule="exact"/>
              <w:jc w:val="right"/>
            </w:pPr>
            <w:r w:rsidRPr="00D47821">
              <w:t>46</w:t>
            </w:r>
          </w:p>
        </w:tc>
      </w:tr>
      <w:tr w:rsidR="006A411C" w:rsidRPr="00773847" w14:paraId="37804896" w14:textId="77777777" w:rsidTr="006A411C">
        <w:tc>
          <w:tcPr>
            <w:tcW w:w="3261" w:type="dxa"/>
            <w:shd w:val="clear" w:color="auto" w:fill="auto"/>
          </w:tcPr>
          <w:p w14:paraId="430A5566" w14:textId="77777777" w:rsidR="006A411C" w:rsidRPr="00D47821" w:rsidRDefault="00752DA1" w:rsidP="006A411C">
            <w:pPr>
              <w:pStyle w:val="Intestazione"/>
              <w:tabs>
                <w:tab w:val="clear" w:pos="4819"/>
                <w:tab w:val="clear" w:pos="9638"/>
              </w:tabs>
              <w:spacing w:line="240" w:lineRule="exact"/>
              <w:jc w:val="both"/>
            </w:pPr>
            <w:r w:rsidRPr="00D47821">
              <w:t>A</w:t>
            </w:r>
            <w:r w:rsidR="006A411C" w:rsidRPr="00D47821">
              <w:t>ltri</w:t>
            </w:r>
          </w:p>
        </w:tc>
        <w:tc>
          <w:tcPr>
            <w:tcW w:w="2439" w:type="dxa"/>
          </w:tcPr>
          <w:p w14:paraId="7E7B096F" w14:textId="77777777" w:rsidR="006A411C" w:rsidRDefault="006A411C" w:rsidP="006A411C">
            <w:pPr>
              <w:pStyle w:val="Intestazione"/>
              <w:tabs>
                <w:tab w:val="clear" w:pos="4819"/>
                <w:tab w:val="clear" w:pos="9638"/>
              </w:tabs>
              <w:spacing w:line="240" w:lineRule="exact"/>
              <w:jc w:val="right"/>
            </w:pPr>
            <w:r w:rsidRPr="00DD284D">
              <w:t>163</w:t>
            </w:r>
          </w:p>
        </w:tc>
        <w:tc>
          <w:tcPr>
            <w:tcW w:w="2913" w:type="dxa"/>
            <w:shd w:val="clear" w:color="auto" w:fill="auto"/>
          </w:tcPr>
          <w:p w14:paraId="5125F04B" w14:textId="77777777" w:rsidR="006A411C" w:rsidRPr="00D47821" w:rsidRDefault="006A411C" w:rsidP="006A411C">
            <w:pPr>
              <w:pStyle w:val="Intestazione"/>
              <w:tabs>
                <w:tab w:val="clear" w:pos="4819"/>
                <w:tab w:val="clear" w:pos="9638"/>
              </w:tabs>
              <w:spacing w:line="240" w:lineRule="exact"/>
              <w:jc w:val="right"/>
            </w:pPr>
            <w:r>
              <w:t>1.0</w:t>
            </w:r>
            <w:r w:rsidRPr="00D47821">
              <w:t>82</w:t>
            </w:r>
          </w:p>
        </w:tc>
      </w:tr>
      <w:tr w:rsidR="006A411C" w:rsidRPr="00773847" w14:paraId="0EF9050B" w14:textId="77777777" w:rsidTr="006A411C">
        <w:tc>
          <w:tcPr>
            <w:tcW w:w="3261" w:type="dxa"/>
            <w:shd w:val="clear" w:color="auto" w:fill="auto"/>
          </w:tcPr>
          <w:p w14:paraId="4F6D6614" w14:textId="77777777" w:rsidR="006A411C" w:rsidRPr="00D47821" w:rsidRDefault="006A411C" w:rsidP="006A411C">
            <w:pPr>
              <w:pStyle w:val="Intestazione"/>
              <w:spacing w:line="240" w:lineRule="exact"/>
            </w:pPr>
            <w:r w:rsidRPr="006A411C">
              <w:t>(stralcio debiti vso comune.</w:t>
            </w:r>
            <w:r>
              <w:t xml:space="preserve"> </w:t>
            </w:r>
            <w:r w:rsidRPr="006A411C">
              <w:t>Classe</w:t>
            </w:r>
            <w:r>
              <w:t xml:space="preserve"> </w:t>
            </w:r>
            <w:r w:rsidRPr="006A411C">
              <w:t>4)</w:t>
            </w:r>
          </w:p>
        </w:tc>
        <w:tc>
          <w:tcPr>
            <w:tcW w:w="2439" w:type="dxa"/>
          </w:tcPr>
          <w:p w14:paraId="32F1E0F6" w14:textId="77777777" w:rsidR="006A411C" w:rsidRDefault="006A411C" w:rsidP="006A411C">
            <w:pPr>
              <w:pStyle w:val="Intestazione"/>
              <w:tabs>
                <w:tab w:val="clear" w:pos="4819"/>
                <w:tab w:val="clear" w:pos="9638"/>
              </w:tabs>
              <w:spacing w:line="240" w:lineRule="exact"/>
              <w:jc w:val="right"/>
            </w:pPr>
            <w:r w:rsidRPr="00DD284D">
              <w:t>-14.925</w:t>
            </w:r>
          </w:p>
        </w:tc>
        <w:tc>
          <w:tcPr>
            <w:tcW w:w="2913" w:type="dxa"/>
            <w:shd w:val="clear" w:color="auto" w:fill="auto"/>
          </w:tcPr>
          <w:p w14:paraId="04501317" w14:textId="77777777" w:rsidR="006A411C" w:rsidRDefault="006A411C" w:rsidP="006A411C">
            <w:pPr>
              <w:pStyle w:val="Intestazione"/>
              <w:tabs>
                <w:tab w:val="clear" w:pos="4819"/>
                <w:tab w:val="clear" w:pos="9638"/>
              </w:tabs>
              <w:spacing w:line="240" w:lineRule="exact"/>
              <w:jc w:val="right"/>
            </w:pPr>
          </w:p>
        </w:tc>
      </w:tr>
      <w:tr w:rsidR="006A411C" w:rsidRPr="00773847" w14:paraId="599A1438" w14:textId="77777777" w:rsidTr="006A411C">
        <w:tc>
          <w:tcPr>
            <w:tcW w:w="3261" w:type="dxa"/>
            <w:shd w:val="clear" w:color="auto" w:fill="auto"/>
          </w:tcPr>
          <w:p w14:paraId="02432681" w14:textId="77777777" w:rsidR="006A411C" w:rsidRPr="001629CA" w:rsidRDefault="006A411C" w:rsidP="006A411C">
            <w:pPr>
              <w:pStyle w:val="Intestazione"/>
              <w:tabs>
                <w:tab w:val="clear" w:pos="4819"/>
                <w:tab w:val="clear" w:pos="9638"/>
              </w:tabs>
              <w:spacing w:line="240" w:lineRule="exact"/>
              <w:jc w:val="both"/>
              <w:rPr>
                <w:b/>
              </w:rPr>
            </w:pPr>
            <w:r w:rsidRPr="001629CA">
              <w:rPr>
                <w:b/>
              </w:rPr>
              <w:t>Totale</w:t>
            </w:r>
          </w:p>
        </w:tc>
        <w:tc>
          <w:tcPr>
            <w:tcW w:w="2439" w:type="dxa"/>
          </w:tcPr>
          <w:p w14:paraId="6528DC7B" w14:textId="77777777" w:rsidR="006A411C" w:rsidRPr="006A411C" w:rsidRDefault="006A411C" w:rsidP="006A411C">
            <w:pPr>
              <w:pStyle w:val="Intestazione"/>
              <w:tabs>
                <w:tab w:val="clear" w:pos="4819"/>
                <w:tab w:val="clear" w:pos="9638"/>
              </w:tabs>
              <w:spacing w:line="240" w:lineRule="exact"/>
              <w:jc w:val="right"/>
              <w:rPr>
                <w:b/>
                <w:bCs/>
              </w:rPr>
            </w:pPr>
            <w:r w:rsidRPr="006A411C">
              <w:rPr>
                <w:b/>
                <w:bCs/>
              </w:rPr>
              <w:t>10.469</w:t>
            </w:r>
          </w:p>
        </w:tc>
        <w:tc>
          <w:tcPr>
            <w:tcW w:w="2913" w:type="dxa"/>
            <w:shd w:val="clear" w:color="auto" w:fill="auto"/>
          </w:tcPr>
          <w:p w14:paraId="6B9F4EAC" w14:textId="77777777" w:rsidR="006A411C" w:rsidRPr="006A411C" w:rsidRDefault="006A411C" w:rsidP="006A411C">
            <w:pPr>
              <w:pStyle w:val="Intestazione"/>
              <w:tabs>
                <w:tab w:val="clear" w:pos="4819"/>
                <w:tab w:val="clear" w:pos="9638"/>
              </w:tabs>
              <w:spacing w:line="240" w:lineRule="exact"/>
              <w:jc w:val="right"/>
              <w:rPr>
                <w:b/>
                <w:bCs/>
              </w:rPr>
            </w:pPr>
            <w:r w:rsidRPr="006A411C">
              <w:rPr>
                <w:b/>
                <w:bCs/>
              </w:rPr>
              <w:t>22.205</w:t>
            </w:r>
          </w:p>
        </w:tc>
      </w:tr>
    </w:tbl>
    <w:p w14:paraId="07068C60" w14:textId="77777777" w:rsidR="00211F73" w:rsidRDefault="00CB4B43" w:rsidP="00211F73">
      <w:pPr>
        <w:widowControl w:val="0"/>
        <w:tabs>
          <w:tab w:val="left" w:pos="1080"/>
        </w:tabs>
        <w:spacing w:before="120" w:after="120"/>
        <w:jc w:val="both"/>
        <w:rPr>
          <w:rFonts w:ascii="Arial" w:hAnsi="Arial" w:cs="Arial"/>
          <w:snapToGrid w:val="0"/>
          <w:sz w:val="20"/>
        </w:rPr>
      </w:pPr>
      <w:r w:rsidRPr="0010297A">
        <w:rPr>
          <w:rFonts w:ascii="Arial" w:hAnsi="Arial" w:cs="Arial"/>
          <w:snapToGrid w:val="0"/>
          <w:sz w:val="20"/>
        </w:rPr>
        <w:t>In particolare, la voce è così composta:</w:t>
      </w:r>
    </w:p>
    <w:p w14:paraId="21440529" w14:textId="77777777" w:rsidR="00211F73" w:rsidRPr="00211F73" w:rsidRDefault="00211F73" w:rsidP="0049512E">
      <w:pPr>
        <w:widowControl w:val="0"/>
        <w:numPr>
          <w:ilvl w:val="0"/>
          <w:numId w:val="36"/>
        </w:numPr>
        <w:spacing w:before="120" w:after="120"/>
        <w:jc w:val="both"/>
        <w:rPr>
          <w:rFonts w:ascii="Arial" w:hAnsi="Arial" w:cs="Arial"/>
          <w:snapToGrid w:val="0"/>
          <w:sz w:val="20"/>
        </w:rPr>
      </w:pPr>
      <w:r w:rsidRPr="00211F73">
        <w:rPr>
          <w:rFonts w:ascii="Arial" w:hAnsi="Arial" w:cs="Arial"/>
          <w:snapToGrid w:val="0"/>
          <w:sz w:val="20"/>
        </w:rPr>
        <w:t>L’importo di 2.088 €/000 è riferito all’eccedenza dei contributi ricevuti per interventi di ammodernamento tranviario Piazza Vittoria – Sannazzaro e filoviarizzazione della rete R4 rispetto all’avanzamento dei lavori legato a tali progetti;</w:t>
      </w:r>
    </w:p>
    <w:p w14:paraId="4986B7E8" w14:textId="77777777" w:rsidR="00211F73" w:rsidRPr="00211F73" w:rsidRDefault="00211F73" w:rsidP="0049512E">
      <w:pPr>
        <w:widowControl w:val="0"/>
        <w:numPr>
          <w:ilvl w:val="0"/>
          <w:numId w:val="37"/>
        </w:numPr>
        <w:spacing w:before="120" w:after="120"/>
        <w:jc w:val="both"/>
        <w:rPr>
          <w:rFonts w:ascii="Arial" w:hAnsi="Arial" w:cs="Arial"/>
          <w:snapToGrid w:val="0"/>
          <w:sz w:val="20"/>
        </w:rPr>
      </w:pPr>
      <w:r w:rsidRPr="00211F73">
        <w:rPr>
          <w:rFonts w:ascii="Arial" w:hAnsi="Arial" w:cs="Arial"/>
          <w:snapToGrid w:val="0"/>
          <w:sz w:val="20"/>
        </w:rPr>
        <w:t>Con determinazione dirigenziale n. 14 del 23/3/2006 del Comune di Napoli è stata definita la restituzione di beni immobili detenuti da parte di ANM all’ente locale, definita in 244 €/000; l’accordo raggiunto tra le due Amministrazioni ha previsto l’assunzione della gestione dei cespiti da parte della società Romeo Gestioni con decorrenza 01/04/2006;</w:t>
      </w:r>
    </w:p>
    <w:p w14:paraId="504A1A18" w14:textId="77777777" w:rsidR="00211F73" w:rsidRPr="00211F73" w:rsidRDefault="00211F73" w:rsidP="0049512E">
      <w:pPr>
        <w:widowControl w:val="0"/>
        <w:numPr>
          <w:ilvl w:val="0"/>
          <w:numId w:val="37"/>
        </w:numPr>
        <w:spacing w:before="120" w:after="120"/>
        <w:jc w:val="both"/>
        <w:rPr>
          <w:rFonts w:ascii="Arial" w:hAnsi="Arial" w:cs="Arial"/>
          <w:snapToGrid w:val="0"/>
          <w:sz w:val="20"/>
        </w:rPr>
      </w:pPr>
      <w:r w:rsidRPr="00211F73">
        <w:rPr>
          <w:rFonts w:ascii="Arial" w:hAnsi="Arial" w:cs="Arial"/>
          <w:snapToGrid w:val="0"/>
          <w:sz w:val="20"/>
        </w:rPr>
        <w:t>L’importo di 1.498 €/000 si riferisce a somme erogate dalla Regione Campania a titolo ripiano disavanzi delle aziende di trasporto ai sensi della legge 388/2000;</w:t>
      </w:r>
    </w:p>
    <w:p w14:paraId="45D7EA41" w14:textId="77777777" w:rsidR="00211F73" w:rsidRPr="00211F73" w:rsidRDefault="00211F73" w:rsidP="0049512E">
      <w:pPr>
        <w:widowControl w:val="0"/>
        <w:numPr>
          <w:ilvl w:val="0"/>
          <w:numId w:val="37"/>
        </w:numPr>
        <w:spacing w:before="120" w:after="120"/>
        <w:jc w:val="both"/>
        <w:rPr>
          <w:rFonts w:ascii="Arial" w:hAnsi="Arial" w:cs="Arial"/>
          <w:snapToGrid w:val="0"/>
          <w:sz w:val="20"/>
        </w:rPr>
      </w:pPr>
      <w:r w:rsidRPr="00211F73">
        <w:rPr>
          <w:rFonts w:ascii="Arial" w:hAnsi="Arial" w:cs="Arial"/>
          <w:snapToGrid w:val="0"/>
          <w:sz w:val="20"/>
        </w:rPr>
        <w:t>10.818 €/000, composto dal residuo debito verso il Comune per canone noleggio dei rotabili, di cui 8.759 €/000 relativi agli anni dal 2015 al 2018 e 2.057 €/000 relativi al canone noleggio rotabili 2019;</w:t>
      </w:r>
    </w:p>
    <w:p w14:paraId="074289CC" w14:textId="77777777" w:rsidR="00211F73" w:rsidRPr="00211F73" w:rsidRDefault="00211F73" w:rsidP="0049512E">
      <w:pPr>
        <w:widowControl w:val="0"/>
        <w:numPr>
          <w:ilvl w:val="0"/>
          <w:numId w:val="37"/>
        </w:numPr>
        <w:spacing w:before="120" w:after="120"/>
        <w:jc w:val="both"/>
        <w:rPr>
          <w:rFonts w:ascii="Arial" w:hAnsi="Arial" w:cs="Arial"/>
          <w:snapToGrid w:val="0"/>
          <w:sz w:val="20"/>
        </w:rPr>
      </w:pPr>
      <w:r w:rsidRPr="00211F73">
        <w:rPr>
          <w:rFonts w:ascii="Arial" w:hAnsi="Arial" w:cs="Arial"/>
          <w:snapToGrid w:val="0"/>
          <w:sz w:val="20"/>
        </w:rPr>
        <w:t xml:space="preserve"> 262 €/000 quali dividendi ancora da corrispondere per utili conseguiti in esercizi precedenti;</w:t>
      </w:r>
    </w:p>
    <w:p w14:paraId="1EAD03D8" w14:textId="77777777" w:rsidR="00211F73" w:rsidRPr="00211F73" w:rsidRDefault="00211F73" w:rsidP="0049512E">
      <w:pPr>
        <w:widowControl w:val="0"/>
        <w:numPr>
          <w:ilvl w:val="0"/>
          <w:numId w:val="37"/>
        </w:numPr>
        <w:spacing w:before="120" w:after="120"/>
        <w:jc w:val="both"/>
        <w:rPr>
          <w:rFonts w:ascii="Arial" w:hAnsi="Arial" w:cs="Arial"/>
          <w:snapToGrid w:val="0"/>
          <w:sz w:val="20"/>
        </w:rPr>
      </w:pPr>
      <w:r w:rsidRPr="00211F73">
        <w:rPr>
          <w:rFonts w:ascii="Arial" w:hAnsi="Arial" w:cs="Arial"/>
          <w:snapToGrid w:val="0"/>
          <w:sz w:val="20"/>
        </w:rPr>
        <w:t>Rilevati nella voce in oggetto anche i canoni per la gestione attività sosta/servizio stallo per un ammontare complessivo di 10.274 €/000 di cui 8.225 €/000per gli anni dal 2015 al 2018 e 2.049 €/000 per l’anno 2019.</w:t>
      </w:r>
    </w:p>
    <w:p w14:paraId="6E7939CD" w14:textId="65213488" w:rsidR="00211F73" w:rsidRDefault="00211F73" w:rsidP="00211F73">
      <w:pPr>
        <w:widowControl w:val="0"/>
        <w:spacing w:before="120" w:after="120"/>
        <w:jc w:val="both"/>
        <w:rPr>
          <w:rFonts w:ascii="Arial" w:hAnsi="Arial" w:cs="Arial"/>
          <w:i/>
          <w:snapToGrid w:val="0"/>
          <w:sz w:val="20"/>
        </w:rPr>
      </w:pPr>
      <w:r w:rsidRPr="00211F73">
        <w:rPr>
          <w:rFonts w:ascii="Arial" w:hAnsi="Arial" w:cs="Arial"/>
          <w:snapToGrid w:val="0"/>
          <w:sz w:val="20"/>
        </w:rPr>
        <w:t>Per le stesse ragioni che hanno portato allo stralcio del debito concordatario delle classi 2 e 3, e descritte al paragrafo “CONCORDATO PREVENTIVO EX ART. 161 COMMA 6, L.F.”</w:t>
      </w:r>
      <w:r w:rsidR="00FA68F4">
        <w:rPr>
          <w:rFonts w:ascii="Arial" w:hAnsi="Arial" w:cs="Arial"/>
          <w:snapToGrid w:val="0"/>
          <w:sz w:val="20"/>
        </w:rPr>
        <w:t xml:space="preserve"> del bilancio di </w:t>
      </w:r>
      <w:r w:rsidRPr="00211F73">
        <w:rPr>
          <w:rFonts w:ascii="Arial" w:hAnsi="Arial" w:cs="Arial"/>
          <w:snapToGrid w:val="0"/>
          <w:sz w:val="20"/>
        </w:rPr>
        <w:t xml:space="preserve"> cui si rimanda, ANM ha rilevato lo stralcio altresì dei debiti di cui alla classe 4 del piano ovvero quelli verso il Comune di Napoli e Napoli Holding, il cui pagamento era legato al totale soddisfo delle precedenti classi. Lo stralcio di tale debenza ammonta a 15.272 </w:t>
      </w:r>
      <w:r w:rsidRPr="00211F73">
        <w:rPr>
          <w:rFonts w:ascii="Arial" w:hAnsi="Arial" w:cs="Arial"/>
          <w:i/>
          <w:snapToGrid w:val="0"/>
          <w:sz w:val="20"/>
        </w:rPr>
        <w:t>euro/000</w:t>
      </w:r>
      <w:r w:rsidR="00FA68F4">
        <w:rPr>
          <w:rFonts w:ascii="Arial" w:hAnsi="Arial" w:cs="Arial"/>
          <w:i/>
          <w:snapToGrid w:val="0"/>
          <w:sz w:val="20"/>
        </w:rPr>
        <w:t xml:space="preserve">, </w:t>
      </w:r>
      <w:r w:rsidR="00FA68F4" w:rsidRPr="00CE6109">
        <w:rPr>
          <w:rFonts w:ascii="Arial" w:hAnsi="Arial" w:cs="Arial"/>
          <w:snapToGrid w:val="0"/>
          <w:sz w:val="20"/>
        </w:rPr>
        <w:t>di cui 14.925 €/000 relativi al Debiti verso il Comune di Napoli.</w:t>
      </w:r>
    </w:p>
    <w:p w14:paraId="38A16E5B" w14:textId="77777777" w:rsidR="009E4952" w:rsidRDefault="009E4952" w:rsidP="009E4952">
      <w:pPr>
        <w:widowControl w:val="0"/>
        <w:tabs>
          <w:tab w:val="left" w:pos="1080"/>
        </w:tabs>
        <w:spacing w:before="120" w:after="120"/>
        <w:jc w:val="both"/>
        <w:rPr>
          <w:rFonts w:ascii="Arial" w:hAnsi="Arial" w:cs="Arial"/>
          <w:b/>
          <w:snapToGrid w:val="0"/>
          <w:sz w:val="20"/>
          <w:u w:val="single"/>
        </w:rPr>
      </w:pPr>
      <w:r w:rsidRPr="008B5D73">
        <w:rPr>
          <w:rFonts w:ascii="Arial" w:hAnsi="Arial" w:cs="Arial"/>
          <w:b/>
          <w:snapToGrid w:val="0"/>
          <w:sz w:val="20"/>
          <w:u w:val="single"/>
        </w:rPr>
        <w:t>Debiti verso imprese sottoposte al controllo delle controllanti</w:t>
      </w:r>
    </w:p>
    <w:p w14:paraId="241375D2" w14:textId="696E621A" w:rsidR="00F149B0" w:rsidRPr="00F149B0" w:rsidRDefault="00CE6109" w:rsidP="009E4952">
      <w:pPr>
        <w:widowControl w:val="0"/>
        <w:tabs>
          <w:tab w:val="left" w:pos="1080"/>
        </w:tabs>
        <w:spacing w:before="120" w:after="120"/>
        <w:jc w:val="both"/>
        <w:rPr>
          <w:rFonts w:ascii="Arial" w:hAnsi="Arial" w:cs="Arial"/>
          <w:bCs/>
          <w:snapToGrid w:val="0"/>
          <w:sz w:val="20"/>
        </w:rPr>
      </w:pPr>
      <w:r>
        <w:rPr>
          <w:noProof/>
        </w:rPr>
        <w:drawing>
          <wp:inline distT="0" distB="0" distL="0" distR="0" wp14:anchorId="7F17CCD7" wp14:editId="0F98868C">
            <wp:extent cx="5400675" cy="75247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14:paraId="199BCE2F" w14:textId="2DC2BE85" w:rsidR="007741FD" w:rsidRPr="005D0F7E" w:rsidRDefault="00C92637" w:rsidP="007741FD">
      <w:pPr>
        <w:widowControl w:val="0"/>
        <w:tabs>
          <w:tab w:val="left" w:pos="1080"/>
        </w:tabs>
        <w:spacing w:before="120" w:after="120"/>
        <w:jc w:val="both"/>
        <w:rPr>
          <w:rFonts w:ascii="Arial" w:hAnsi="Arial" w:cs="Arial"/>
          <w:snapToGrid w:val="0"/>
          <w:sz w:val="20"/>
        </w:rPr>
      </w:pPr>
      <w:r w:rsidRPr="008B5D73">
        <w:rPr>
          <w:rFonts w:ascii="Arial" w:hAnsi="Arial" w:cs="Arial"/>
          <w:snapToGrid w:val="0"/>
          <w:sz w:val="20"/>
        </w:rPr>
        <w:lastRenderedPageBreak/>
        <w:t xml:space="preserve">Trattasi del </w:t>
      </w:r>
      <w:r w:rsidR="008B5D73" w:rsidRPr="008B5D73">
        <w:rPr>
          <w:rFonts w:ascii="Arial" w:hAnsi="Arial" w:cs="Arial"/>
          <w:snapToGrid w:val="0"/>
          <w:sz w:val="20"/>
        </w:rPr>
        <w:t xml:space="preserve">debito </w:t>
      </w:r>
      <w:r w:rsidR="00156154">
        <w:rPr>
          <w:rFonts w:ascii="Arial" w:hAnsi="Arial" w:cs="Arial"/>
          <w:snapToGrid w:val="0"/>
          <w:sz w:val="20"/>
        </w:rPr>
        <w:t xml:space="preserve">di ANM </w:t>
      </w:r>
      <w:r w:rsidR="008B5D73" w:rsidRPr="008B5D73">
        <w:rPr>
          <w:rFonts w:ascii="Arial" w:hAnsi="Arial" w:cs="Arial"/>
          <w:snapToGrid w:val="0"/>
          <w:sz w:val="20"/>
        </w:rPr>
        <w:t xml:space="preserve">verso </w:t>
      </w:r>
      <w:r w:rsidR="00156154" w:rsidRPr="00156154">
        <w:rPr>
          <w:rFonts w:ascii="Arial" w:hAnsi="Arial" w:cs="Arial"/>
          <w:snapToGrid w:val="0"/>
          <w:sz w:val="20"/>
        </w:rPr>
        <w:t xml:space="preserve">l’impresa ABC, </w:t>
      </w:r>
      <w:r w:rsidR="002A4703">
        <w:rPr>
          <w:rFonts w:ascii="Arial" w:hAnsi="Arial" w:cs="Arial"/>
          <w:snapToGrid w:val="0"/>
          <w:sz w:val="20"/>
        </w:rPr>
        <w:t>s</w:t>
      </w:r>
      <w:r w:rsidR="00156154" w:rsidRPr="00156154">
        <w:rPr>
          <w:rFonts w:ascii="Arial" w:hAnsi="Arial" w:cs="Arial"/>
          <w:snapToGrid w:val="0"/>
          <w:sz w:val="20"/>
        </w:rPr>
        <w:t xml:space="preserve">ocietà controllata dal Comune di Napoli e Terme di Agnano, rispettivamente di </w:t>
      </w:r>
      <w:r w:rsidR="00F149B0">
        <w:rPr>
          <w:rFonts w:ascii="Arial" w:hAnsi="Arial" w:cs="Arial"/>
          <w:snapToGrid w:val="0"/>
          <w:sz w:val="20"/>
        </w:rPr>
        <w:t>357</w:t>
      </w:r>
      <w:r w:rsidR="00156154" w:rsidRPr="00156154">
        <w:rPr>
          <w:rFonts w:ascii="Arial" w:hAnsi="Arial" w:cs="Arial"/>
          <w:snapToGrid w:val="0"/>
          <w:sz w:val="20"/>
        </w:rPr>
        <w:t xml:space="preserve"> </w:t>
      </w:r>
      <w:r w:rsidR="00FA68F4">
        <w:rPr>
          <w:rFonts w:ascii="Arial" w:hAnsi="Arial" w:cs="Arial"/>
          <w:i/>
          <w:snapToGrid w:val="0"/>
          <w:sz w:val="20"/>
        </w:rPr>
        <w:t>€/000</w:t>
      </w:r>
      <w:r w:rsidR="00156154" w:rsidRPr="00156154">
        <w:rPr>
          <w:rFonts w:ascii="Arial" w:hAnsi="Arial" w:cs="Arial"/>
          <w:snapToGrid w:val="0"/>
          <w:sz w:val="20"/>
        </w:rPr>
        <w:t xml:space="preserve"> e 15 </w:t>
      </w:r>
      <w:r w:rsidR="00FA68F4">
        <w:rPr>
          <w:rFonts w:ascii="Arial" w:hAnsi="Arial" w:cs="Arial"/>
          <w:i/>
          <w:snapToGrid w:val="0"/>
          <w:sz w:val="20"/>
        </w:rPr>
        <w:t>€/000</w:t>
      </w:r>
      <w:r w:rsidR="00156154" w:rsidRPr="00156154">
        <w:rPr>
          <w:rFonts w:ascii="Arial" w:hAnsi="Arial" w:cs="Arial"/>
          <w:snapToGrid w:val="0"/>
          <w:sz w:val="20"/>
        </w:rPr>
        <w:t xml:space="preserve"> </w:t>
      </w:r>
    </w:p>
    <w:p w14:paraId="0941B333" w14:textId="77777777" w:rsidR="00EE4AF0" w:rsidRDefault="00EE4AF0" w:rsidP="002D4D1D">
      <w:pPr>
        <w:widowControl w:val="0"/>
        <w:tabs>
          <w:tab w:val="left" w:pos="1598"/>
        </w:tabs>
        <w:spacing w:before="120" w:after="120"/>
        <w:jc w:val="both"/>
        <w:rPr>
          <w:rFonts w:ascii="Arial" w:hAnsi="Arial" w:cs="Arial"/>
          <w:b/>
          <w:snapToGrid w:val="0"/>
          <w:sz w:val="20"/>
          <w:u w:val="single"/>
        </w:rPr>
      </w:pPr>
      <w:r w:rsidRPr="008B5D73">
        <w:rPr>
          <w:rFonts w:ascii="Arial" w:hAnsi="Arial" w:cs="Arial"/>
          <w:b/>
          <w:snapToGrid w:val="0"/>
          <w:sz w:val="20"/>
          <w:u w:val="single"/>
        </w:rPr>
        <w:t>Debiti tributari</w:t>
      </w:r>
    </w:p>
    <w:p w14:paraId="38846200" w14:textId="6CC6BAE3" w:rsidR="00F149B0" w:rsidRPr="00F149B0" w:rsidRDefault="00CE6109" w:rsidP="002D4D1D">
      <w:pPr>
        <w:widowControl w:val="0"/>
        <w:tabs>
          <w:tab w:val="left" w:pos="1598"/>
        </w:tabs>
        <w:spacing w:before="120" w:after="120"/>
        <w:jc w:val="both"/>
        <w:rPr>
          <w:rFonts w:ascii="Arial" w:hAnsi="Arial" w:cs="Arial"/>
          <w:bCs/>
          <w:snapToGrid w:val="0"/>
          <w:sz w:val="20"/>
        </w:rPr>
      </w:pPr>
      <w:r>
        <w:rPr>
          <w:noProof/>
        </w:rPr>
        <w:drawing>
          <wp:inline distT="0" distB="0" distL="0" distR="0" wp14:anchorId="4F1A51FC" wp14:editId="69D35DEA">
            <wp:extent cx="5400675" cy="71437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714375"/>
                    </a:xfrm>
                    <a:prstGeom prst="rect">
                      <a:avLst/>
                    </a:prstGeom>
                    <a:noFill/>
                    <a:ln>
                      <a:noFill/>
                    </a:ln>
                  </pic:spPr>
                </pic:pic>
              </a:graphicData>
            </a:graphic>
          </wp:inline>
        </w:drawing>
      </w:r>
    </w:p>
    <w:p w14:paraId="49B075DD" w14:textId="77777777" w:rsidR="009536C7" w:rsidRPr="008B5D73" w:rsidRDefault="009536C7" w:rsidP="002D4D1D">
      <w:pPr>
        <w:widowControl w:val="0"/>
        <w:tabs>
          <w:tab w:val="left" w:pos="1598"/>
        </w:tabs>
        <w:spacing w:before="120" w:after="120"/>
        <w:jc w:val="both"/>
        <w:rPr>
          <w:rFonts w:ascii="Arial" w:hAnsi="Arial" w:cs="Arial"/>
          <w:snapToGrid w:val="0"/>
          <w:sz w:val="20"/>
        </w:rPr>
      </w:pPr>
      <w:r w:rsidRPr="008B5D73">
        <w:rPr>
          <w:rFonts w:ascii="Arial" w:hAnsi="Arial" w:cs="Arial"/>
          <w:snapToGrid w:val="0"/>
          <w:sz w:val="20"/>
        </w:rPr>
        <w:t>La voce “Debiti tributari” accoglie solo le passività per imposte certe e determinate.</w:t>
      </w:r>
    </w:p>
    <w:p w14:paraId="11A66D4A" w14:textId="3B776AF3" w:rsidR="009536C7" w:rsidRDefault="009536C7" w:rsidP="002D4D1D">
      <w:pPr>
        <w:widowControl w:val="0"/>
        <w:tabs>
          <w:tab w:val="left" w:pos="1598"/>
        </w:tabs>
        <w:spacing w:before="120" w:after="120"/>
        <w:jc w:val="both"/>
        <w:rPr>
          <w:rFonts w:ascii="Arial" w:hAnsi="Arial" w:cs="Arial"/>
          <w:snapToGrid w:val="0"/>
          <w:sz w:val="20"/>
        </w:rPr>
      </w:pPr>
      <w:r w:rsidRPr="008B5D73">
        <w:rPr>
          <w:rFonts w:ascii="Arial" w:hAnsi="Arial" w:cs="Arial"/>
          <w:snapToGrid w:val="0"/>
          <w:sz w:val="20"/>
        </w:rPr>
        <w:t xml:space="preserve">L’esposizione più significativa è </w:t>
      </w:r>
      <w:r w:rsidR="00100B08">
        <w:rPr>
          <w:rFonts w:ascii="Arial" w:hAnsi="Arial" w:cs="Arial"/>
          <w:snapToGrid w:val="0"/>
          <w:sz w:val="20"/>
        </w:rPr>
        <w:t xml:space="preserve">relativa </w:t>
      </w:r>
      <w:r w:rsidR="00E87887" w:rsidRPr="008B5D73">
        <w:rPr>
          <w:rFonts w:ascii="Arial" w:hAnsi="Arial" w:cs="Arial"/>
          <w:snapToGrid w:val="0"/>
          <w:sz w:val="20"/>
        </w:rPr>
        <w:t>alla</w:t>
      </w:r>
      <w:r w:rsidRPr="008B5D73">
        <w:rPr>
          <w:rFonts w:ascii="Arial" w:hAnsi="Arial" w:cs="Arial"/>
          <w:snapToGrid w:val="0"/>
          <w:sz w:val="20"/>
        </w:rPr>
        <w:t xml:space="preserve"> controllata ANM e può</w:t>
      </w:r>
      <w:r w:rsidR="008B5D73">
        <w:rPr>
          <w:rFonts w:ascii="Arial" w:hAnsi="Arial" w:cs="Arial"/>
          <w:snapToGrid w:val="0"/>
          <w:sz w:val="20"/>
        </w:rPr>
        <w:t xml:space="preserve"> essere dettagliata come segue:</w:t>
      </w:r>
    </w:p>
    <w:p w14:paraId="38BB66BB"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Pr>
          <w:rFonts w:ascii="Arial" w:hAnsi="Arial" w:cs="Arial"/>
          <w:snapToGrid w:val="0"/>
          <w:sz w:val="20"/>
        </w:rPr>
        <w:t>A) R</w:t>
      </w:r>
      <w:r w:rsidRPr="00F149B0">
        <w:rPr>
          <w:rFonts w:ascii="Arial" w:hAnsi="Arial" w:cs="Arial"/>
          <w:snapToGrid w:val="0"/>
          <w:sz w:val="20"/>
        </w:rPr>
        <w:t>esiduo ritenute operate sulle retribuzioni dei lavoratori dipendenti nel 2011-2012 per 9.205 €/000. Per il 2011, la cui IRPEF non versata valeva 8.928 €/000, oltre oneri aggiuntivi</w:t>
      </w:r>
      <w:r w:rsidRPr="00F149B0">
        <w:rPr>
          <w:rFonts w:ascii="Arial" w:hAnsi="Arial" w:cs="Arial"/>
          <w:i/>
          <w:snapToGrid w:val="0"/>
          <w:sz w:val="20"/>
        </w:rPr>
        <w:t xml:space="preserve">, </w:t>
      </w:r>
      <w:r w:rsidRPr="00F149B0">
        <w:rPr>
          <w:rFonts w:ascii="Arial" w:hAnsi="Arial" w:cs="Arial"/>
          <w:snapToGrid w:val="0"/>
          <w:sz w:val="20"/>
        </w:rPr>
        <w:t xml:space="preserve">è giunta notifica da parte dell’Agenzia delle Entrate che ha consentito l’accesso ad un piano di dilazione, la cui prima rata è stata regolarmente versata a giugno 2014; residua IRPEF da pagare(causa blocco pagamento rate in concordato ) per </w:t>
      </w:r>
      <w:r w:rsidRPr="00F149B0">
        <w:rPr>
          <w:rFonts w:ascii="Arial" w:hAnsi="Arial" w:cs="Arial"/>
          <w:b/>
          <w:snapToGrid w:val="0"/>
          <w:sz w:val="20"/>
        </w:rPr>
        <w:t>2.232</w:t>
      </w:r>
      <w:r w:rsidRPr="00F149B0">
        <w:rPr>
          <w:rFonts w:ascii="Arial" w:hAnsi="Arial" w:cs="Arial"/>
          <w:snapToGrid w:val="0"/>
          <w:sz w:val="20"/>
        </w:rPr>
        <w:t xml:space="preserve"> €/000; per il 2012, la cui IRPEF valeva 13.945 €/000,</w:t>
      </w:r>
      <w:r w:rsidRPr="00F149B0">
        <w:rPr>
          <w:rFonts w:ascii="Arial" w:hAnsi="Arial" w:cs="Arial"/>
          <w:i/>
          <w:snapToGrid w:val="0"/>
          <w:sz w:val="20"/>
        </w:rPr>
        <w:t xml:space="preserve"> </w:t>
      </w:r>
      <w:r w:rsidRPr="00F149B0">
        <w:rPr>
          <w:rFonts w:ascii="Arial" w:hAnsi="Arial" w:cs="Arial"/>
          <w:snapToGrid w:val="0"/>
          <w:sz w:val="20"/>
        </w:rPr>
        <w:t xml:space="preserve"> oltre oneri aggiuntivi, è giunto nel 2015 avviso atteso; residuano da pagare </w:t>
      </w:r>
      <w:r w:rsidRPr="00F149B0">
        <w:rPr>
          <w:rFonts w:ascii="Arial" w:hAnsi="Arial" w:cs="Arial"/>
          <w:b/>
          <w:snapToGrid w:val="0"/>
          <w:sz w:val="20"/>
        </w:rPr>
        <w:t>6.973</w:t>
      </w:r>
      <w:r w:rsidRPr="00F149B0">
        <w:rPr>
          <w:rFonts w:ascii="Arial" w:hAnsi="Arial" w:cs="Arial"/>
          <w:snapToGrid w:val="0"/>
          <w:sz w:val="20"/>
        </w:rPr>
        <w:t xml:space="preserve"> €/000 ; si aggiunge altresì l’importo di </w:t>
      </w:r>
      <w:r w:rsidRPr="00F149B0">
        <w:rPr>
          <w:rFonts w:ascii="Arial" w:hAnsi="Arial" w:cs="Arial"/>
          <w:b/>
          <w:snapToGrid w:val="0"/>
          <w:sz w:val="20"/>
        </w:rPr>
        <w:t>7.418</w:t>
      </w:r>
      <w:r w:rsidRPr="00F149B0">
        <w:rPr>
          <w:rFonts w:ascii="Arial" w:hAnsi="Arial" w:cs="Arial"/>
          <w:snapToGrid w:val="0"/>
          <w:sz w:val="20"/>
        </w:rPr>
        <w:t xml:space="preserve"> €/000, relativo all’IRPEF maturata sulle retribuzioni di aprile-dicembre  2017 non versata per problemi liquidità del momento e rientrata nella debenza erariale del concordato; si aggiunge altresì l’IRPEF maturata sulle retribuzioni di dicembre 2019, pagata a gennaio 2020 di </w:t>
      </w:r>
      <w:r w:rsidRPr="00F149B0">
        <w:rPr>
          <w:rFonts w:ascii="Arial" w:hAnsi="Arial" w:cs="Arial"/>
          <w:b/>
          <w:snapToGrid w:val="0"/>
          <w:sz w:val="20"/>
        </w:rPr>
        <w:t>2.075</w:t>
      </w:r>
      <w:r w:rsidRPr="00F149B0">
        <w:rPr>
          <w:rFonts w:ascii="Arial" w:hAnsi="Arial" w:cs="Arial"/>
          <w:snapToGrid w:val="0"/>
          <w:sz w:val="20"/>
        </w:rPr>
        <w:t xml:space="preserve"> €/000.</w:t>
      </w:r>
    </w:p>
    <w:p w14:paraId="0860EC47"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t xml:space="preserve">Totale IRPEF esposta al 31/12/2019 da versare </w:t>
      </w:r>
      <w:r w:rsidRPr="00F149B0">
        <w:rPr>
          <w:rFonts w:ascii="Arial" w:hAnsi="Arial" w:cs="Arial"/>
          <w:b/>
          <w:snapToGrid w:val="0"/>
          <w:sz w:val="20"/>
        </w:rPr>
        <w:t>18.472</w:t>
      </w:r>
      <w:r w:rsidRPr="00F149B0">
        <w:rPr>
          <w:rFonts w:ascii="Arial" w:hAnsi="Arial" w:cs="Arial"/>
          <w:snapToGrid w:val="0"/>
          <w:sz w:val="20"/>
        </w:rPr>
        <w:t xml:space="preserve"> €/000;</w:t>
      </w:r>
    </w:p>
    <w:p w14:paraId="09551931"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t>b) il debito sospeso verso l’Erario per fatture emesse nei confronti del Comune, la cui relativa imposta sul valore aggiunto sarà dovuta al momento dell’incasso (</w:t>
      </w:r>
      <w:r w:rsidRPr="00F149B0">
        <w:rPr>
          <w:rFonts w:ascii="Arial" w:hAnsi="Arial" w:cs="Arial"/>
          <w:b/>
          <w:snapToGrid w:val="0"/>
          <w:sz w:val="20"/>
        </w:rPr>
        <w:t>789</w:t>
      </w:r>
      <w:r w:rsidRPr="00F149B0">
        <w:rPr>
          <w:rFonts w:ascii="Arial" w:hAnsi="Arial" w:cs="Arial"/>
          <w:snapToGrid w:val="0"/>
          <w:sz w:val="20"/>
        </w:rPr>
        <w:t xml:space="preserve"> €/000);</w:t>
      </w:r>
    </w:p>
    <w:p w14:paraId="20B42586"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t xml:space="preserve">c) il debito vs Erario per IRES 2010, relativamente alla quale si è fatto ricorso ad un piano di dilazione con l’Agenzia delle Entrate a seguito notifica avviso. Residua da pagare al 31.12.2019 l’importo di </w:t>
      </w:r>
      <w:r w:rsidRPr="00F149B0">
        <w:rPr>
          <w:rFonts w:ascii="Arial" w:hAnsi="Arial" w:cs="Arial"/>
          <w:b/>
          <w:snapToGrid w:val="0"/>
          <w:sz w:val="20"/>
        </w:rPr>
        <w:t>179</w:t>
      </w:r>
      <w:r w:rsidRPr="00F149B0">
        <w:rPr>
          <w:rFonts w:ascii="Arial" w:hAnsi="Arial" w:cs="Arial"/>
          <w:snapToGrid w:val="0"/>
          <w:sz w:val="20"/>
        </w:rPr>
        <w:t xml:space="preserve"> €/000; si aggiunge altresì l’imposta IRES 2019 di 1.088 €/000 che sarà versata nel 2020, al netto degli acconti già versati.</w:t>
      </w:r>
    </w:p>
    <w:p w14:paraId="3A104C6A"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t xml:space="preserve">d) il debito accertato a seguito avvisi verso l’Agente riscossione tributi relativamente alla tassa smaltimento rifiuti solidi urbani per </w:t>
      </w:r>
      <w:r w:rsidRPr="00F149B0">
        <w:rPr>
          <w:rFonts w:ascii="Arial" w:hAnsi="Arial" w:cs="Arial"/>
          <w:b/>
          <w:snapToGrid w:val="0"/>
          <w:sz w:val="20"/>
        </w:rPr>
        <w:t>6.184</w:t>
      </w:r>
      <w:r w:rsidRPr="00F149B0">
        <w:rPr>
          <w:rFonts w:ascii="Arial" w:hAnsi="Arial" w:cs="Arial"/>
          <w:snapToGrid w:val="0"/>
          <w:sz w:val="20"/>
        </w:rPr>
        <w:t xml:space="preserve"> €/000</w:t>
      </w:r>
      <w:r w:rsidRPr="00F149B0">
        <w:rPr>
          <w:rFonts w:ascii="Arial" w:hAnsi="Arial" w:cs="Arial"/>
          <w:i/>
          <w:snapToGrid w:val="0"/>
          <w:sz w:val="20"/>
        </w:rPr>
        <w:t xml:space="preserve">, </w:t>
      </w:r>
      <w:r w:rsidRPr="00F149B0">
        <w:rPr>
          <w:rFonts w:ascii="Arial" w:hAnsi="Arial" w:cs="Arial"/>
          <w:snapToGrid w:val="0"/>
          <w:sz w:val="20"/>
        </w:rPr>
        <w:t xml:space="preserve">quale saldo Tarsu e Tares 2012-2019 verso il Comune di Napoli, non ancora versate, se non in acconto, ma oggetto di una azione stragiudiziale e in attesa definizione e corretta determinazione aree di addebito; </w:t>
      </w:r>
    </w:p>
    <w:p w14:paraId="1E5043F8"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t xml:space="preserve">e) il debito per Iva di 4.322 €/000, è composto dall’ Iva del primo e quarto trimestre 2017 di </w:t>
      </w:r>
      <w:r w:rsidRPr="00F149B0">
        <w:rPr>
          <w:rFonts w:ascii="Arial" w:hAnsi="Arial" w:cs="Arial"/>
          <w:b/>
          <w:snapToGrid w:val="0"/>
          <w:sz w:val="20"/>
        </w:rPr>
        <w:t>4.215</w:t>
      </w:r>
      <w:r w:rsidRPr="00F149B0">
        <w:rPr>
          <w:rFonts w:ascii="Arial" w:hAnsi="Arial" w:cs="Arial"/>
          <w:snapToGrid w:val="0"/>
          <w:sz w:val="20"/>
        </w:rPr>
        <w:t xml:space="preserve"> €/000. Per l’iva primo trimestre è pervenuto avviso pagato solo per la prima rata. Le restanti 19 rate oltre l’iva del quarto trimestre sono rientrate nella debenza erariale gestita dal concordato; si aggiunge altresì la debenza Iva di luglio-ottobre e novembre pagata nel 2020 per 278 €/000 e il credito iva di dicembre 2019 di 171 €/000;</w:t>
      </w:r>
    </w:p>
    <w:p w14:paraId="084C432F"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t xml:space="preserve"> f) saldo IRAP 2012 di importo originario di </w:t>
      </w:r>
      <w:r w:rsidRPr="00F149B0">
        <w:rPr>
          <w:rFonts w:ascii="Arial" w:hAnsi="Arial" w:cs="Arial"/>
          <w:b/>
          <w:snapToGrid w:val="0"/>
          <w:sz w:val="20"/>
        </w:rPr>
        <w:t>2.866</w:t>
      </w:r>
      <w:r w:rsidRPr="00F149B0">
        <w:rPr>
          <w:rFonts w:ascii="Arial" w:hAnsi="Arial" w:cs="Arial"/>
          <w:snapToGrid w:val="0"/>
          <w:sz w:val="20"/>
        </w:rPr>
        <w:t xml:space="preserve"> €/000 oltre oneri aggiuntivi</w:t>
      </w:r>
      <w:r w:rsidRPr="00F149B0">
        <w:rPr>
          <w:rFonts w:ascii="Arial" w:hAnsi="Arial" w:cs="Arial"/>
          <w:i/>
          <w:snapToGrid w:val="0"/>
          <w:sz w:val="20"/>
        </w:rPr>
        <w:t xml:space="preserve"> </w:t>
      </w:r>
      <w:r w:rsidRPr="00F149B0">
        <w:rPr>
          <w:rFonts w:ascii="Arial" w:hAnsi="Arial" w:cs="Arial"/>
          <w:snapToGrid w:val="0"/>
          <w:sz w:val="20"/>
        </w:rPr>
        <w:t xml:space="preserve">relativamente al quale è stato notificato avviso nel 2015 e in regolare pagamento; residuano rate per un totale complessivo di </w:t>
      </w:r>
      <w:r w:rsidRPr="00F149B0">
        <w:rPr>
          <w:rFonts w:ascii="Arial" w:hAnsi="Arial" w:cs="Arial"/>
          <w:b/>
          <w:snapToGrid w:val="0"/>
          <w:sz w:val="20"/>
        </w:rPr>
        <w:t>1.433</w:t>
      </w:r>
      <w:r w:rsidRPr="00F149B0">
        <w:rPr>
          <w:rFonts w:ascii="Arial" w:hAnsi="Arial" w:cs="Arial"/>
          <w:snapToGrid w:val="0"/>
          <w:sz w:val="20"/>
        </w:rPr>
        <w:t xml:space="preserve"> €/000;</w:t>
      </w:r>
    </w:p>
    <w:p w14:paraId="70BA1D7D"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t xml:space="preserve">g) debito per addizionali non pagate aprile-dicembre 2017 pari ad </w:t>
      </w:r>
      <w:r w:rsidRPr="00F149B0">
        <w:rPr>
          <w:rFonts w:ascii="Arial" w:hAnsi="Arial" w:cs="Arial"/>
          <w:b/>
          <w:snapToGrid w:val="0"/>
          <w:sz w:val="20"/>
        </w:rPr>
        <w:t>978</w:t>
      </w:r>
      <w:r w:rsidRPr="00F149B0">
        <w:rPr>
          <w:rFonts w:ascii="Arial" w:hAnsi="Arial" w:cs="Arial"/>
          <w:snapToGrid w:val="0"/>
          <w:sz w:val="20"/>
        </w:rPr>
        <w:t xml:space="preserve"> €/000. L’importo è rientrato nella debenza erariale e gestita dall’istituto del concordato; si aggiunge altresì l’importo di 4 €/000 relativo ad addizionali maturate a dicembre 2019 pagate a gennaio 2020;</w:t>
      </w:r>
    </w:p>
    <w:p w14:paraId="2F0A4630"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t xml:space="preserve">h) il debito verso Erario per oneri aggiuntivi a seguito avvisi per </w:t>
      </w:r>
      <w:r w:rsidRPr="00F149B0">
        <w:rPr>
          <w:rFonts w:ascii="Arial" w:hAnsi="Arial" w:cs="Arial"/>
          <w:b/>
          <w:snapToGrid w:val="0"/>
          <w:sz w:val="20"/>
        </w:rPr>
        <w:t>3.664</w:t>
      </w:r>
      <w:r w:rsidRPr="00F149B0">
        <w:rPr>
          <w:rFonts w:ascii="Arial" w:hAnsi="Arial" w:cs="Arial"/>
          <w:snapToGrid w:val="0"/>
          <w:sz w:val="20"/>
        </w:rPr>
        <w:t xml:space="preserve"> €/000</w:t>
      </w:r>
      <w:r w:rsidRPr="00F149B0">
        <w:rPr>
          <w:rFonts w:ascii="Arial" w:hAnsi="Arial" w:cs="Arial"/>
          <w:i/>
          <w:snapToGrid w:val="0"/>
          <w:sz w:val="20"/>
        </w:rPr>
        <w:t xml:space="preserve">: </w:t>
      </w:r>
      <w:r w:rsidRPr="00F149B0">
        <w:rPr>
          <w:rFonts w:ascii="Arial" w:hAnsi="Arial" w:cs="Arial"/>
          <w:snapToGrid w:val="0"/>
          <w:sz w:val="20"/>
        </w:rPr>
        <w:t>trattasi del residuo degli importi accantonati per interessi e sanzioni addebitati per le imposte oggetto di regolare avviso e rateizzo di cui sopra il dettaglio, rilasciato in luogo di ogni pagamento rate; residuano gli importi di cui agli interessi e sanzioni accantonati nei precedenti esercizi e bloccati in sede concordato;</w:t>
      </w:r>
    </w:p>
    <w:p w14:paraId="383369FE"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lastRenderedPageBreak/>
        <w:t xml:space="preserve">i) il debito IMU di </w:t>
      </w:r>
      <w:r w:rsidRPr="00F149B0">
        <w:rPr>
          <w:rFonts w:ascii="Arial" w:hAnsi="Arial" w:cs="Arial"/>
          <w:b/>
          <w:snapToGrid w:val="0"/>
          <w:sz w:val="20"/>
        </w:rPr>
        <w:t>375</w:t>
      </w:r>
      <w:r w:rsidRPr="00F149B0">
        <w:rPr>
          <w:rFonts w:ascii="Arial" w:hAnsi="Arial" w:cs="Arial"/>
          <w:snapToGrid w:val="0"/>
          <w:sz w:val="20"/>
        </w:rPr>
        <w:t xml:space="preserve"> €/000 è relativo all’acconto e saldo IMU 2017 i cui versamenti erano previsti a giugno e dicembre 2017. Entrambi gli importi sono rientrati nella debenza erariale gestita dall’istituto del concordato;</w:t>
      </w:r>
    </w:p>
    <w:p w14:paraId="277604D9"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t xml:space="preserve">l) Imposta sostitutiva di </w:t>
      </w:r>
      <w:r w:rsidRPr="00F149B0">
        <w:rPr>
          <w:rFonts w:ascii="Arial" w:hAnsi="Arial" w:cs="Arial"/>
          <w:b/>
          <w:snapToGrid w:val="0"/>
          <w:sz w:val="20"/>
        </w:rPr>
        <w:t>211</w:t>
      </w:r>
      <w:r w:rsidRPr="00F149B0">
        <w:rPr>
          <w:rFonts w:ascii="Arial" w:hAnsi="Arial" w:cs="Arial"/>
          <w:snapToGrid w:val="0"/>
          <w:sz w:val="20"/>
        </w:rPr>
        <w:t xml:space="preserve"> €/000, rientrante nell’avviso di accertamento IRPEF 2012;</w:t>
      </w:r>
    </w:p>
    <w:p w14:paraId="75A4CEEC" w14:textId="77777777"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t xml:space="preserve">m)Debiti per ritenute IRPEF 1040 di </w:t>
      </w:r>
      <w:r w:rsidRPr="00F149B0">
        <w:rPr>
          <w:rFonts w:ascii="Arial" w:hAnsi="Arial" w:cs="Arial"/>
          <w:b/>
          <w:snapToGrid w:val="0"/>
          <w:sz w:val="20"/>
        </w:rPr>
        <w:t>54</w:t>
      </w:r>
      <w:r w:rsidRPr="00F149B0">
        <w:rPr>
          <w:rFonts w:ascii="Arial" w:hAnsi="Arial" w:cs="Arial"/>
          <w:snapToGrid w:val="0"/>
          <w:sz w:val="20"/>
        </w:rPr>
        <w:t xml:space="preserve"> €/000: Trattasi delle ritenute su compensi professionisti pagati a dicembre e delle ritenute su compensi non ancora pagati - Le ritenute sono maturate ma non liquidabili sino a pagamento dei compensi relativi. Le ritenute sono maturate ma non sono state liquidate in quanto rientranti nella massa debitoria di concordato per 9 €/000.</w:t>
      </w:r>
    </w:p>
    <w:p w14:paraId="4EA3289F" w14:textId="403E49EE" w:rsidR="00F149B0" w:rsidRPr="00F149B0" w:rsidRDefault="00F149B0" w:rsidP="00F149B0">
      <w:pPr>
        <w:widowControl w:val="0"/>
        <w:tabs>
          <w:tab w:val="left" w:pos="1598"/>
        </w:tabs>
        <w:spacing w:before="120" w:after="120"/>
        <w:jc w:val="both"/>
        <w:rPr>
          <w:rFonts w:ascii="Arial" w:hAnsi="Arial" w:cs="Arial"/>
          <w:snapToGrid w:val="0"/>
          <w:sz w:val="20"/>
        </w:rPr>
      </w:pPr>
      <w:r w:rsidRPr="00F149B0">
        <w:rPr>
          <w:rFonts w:ascii="Arial" w:hAnsi="Arial" w:cs="Arial"/>
          <w:snapToGrid w:val="0"/>
          <w:sz w:val="20"/>
        </w:rPr>
        <w:t xml:space="preserve">n) Debito per imposte IRES ed IRAP, calcolate per l’anno 2019, pari rispettivamente a 6.284 </w:t>
      </w:r>
      <w:r w:rsidR="00FA68F4">
        <w:rPr>
          <w:rFonts w:ascii="Arial" w:hAnsi="Arial" w:cs="Arial"/>
          <w:i/>
          <w:snapToGrid w:val="0"/>
          <w:sz w:val="20"/>
        </w:rPr>
        <w:t>€/000</w:t>
      </w:r>
      <w:r w:rsidRPr="00F149B0">
        <w:rPr>
          <w:rFonts w:ascii="Arial" w:hAnsi="Arial" w:cs="Arial"/>
          <w:i/>
          <w:snapToGrid w:val="0"/>
          <w:sz w:val="20"/>
        </w:rPr>
        <w:t xml:space="preserve"> </w:t>
      </w:r>
      <w:r w:rsidRPr="00F149B0">
        <w:rPr>
          <w:rFonts w:ascii="Arial" w:hAnsi="Arial" w:cs="Arial"/>
          <w:snapToGrid w:val="0"/>
          <w:sz w:val="20"/>
        </w:rPr>
        <w:t xml:space="preserve">e 1.395 </w:t>
      </w:r>
      <w:r w:rsidR="00FA68F4">
        <w:rPr>
          <w:rFonts w:ascii="Arial" w:hAnsi="Arial" w:cs="Arial"/>
          <w:i/>
          <w:snapToGrid w:val="0"/>
          <w:sz w:val="20"/>
        </w:rPr>
        <w:t>€/000</w:t>
      </w:r>
      <w:r w:rsidRPr="00F149B0">
        <w:rPr>
          <w:rFonts w:ascii="Arial" w:hAnsi="Arial" w:cs="Arial"/>
          <w:snapToGrid w:val="0"/>
          <w:sz w:val="20"/>
        </w:rPr>
        <w:t xml:space="preserve">; esposto al netto degli acconti versati nel 2019, </w:t>
      </w:r>
      <w:r w:rsidR="00693B59" w:rsidRPr="00F149B0">
        <w:rPr>
          <w:rFonts w:ascii="Arial" w:hAnsi="Arial" w:cs="Arial"/>
          <w:snapToGrid w:val="0"/>
          <w:sz w:val="20"/>
        </w:rPr>
        <w:t>per 652</w:t>
      </w:r>
      <w:r w:rsidRPr="00F149B0">
        <w:rPr>
          <w:rFonts w:ascii="Arial" w:hAnsi="Arial" w:cs="Arial"/>
          <w:snapToGrid w:val="0"/>
          <w:sz w:val="20"/>
        </w:rPr>
        <w:t xml:space="preserve"> </w:t>
      </w:r>
      <w:r w:rsidR="00FA68F4">
        <w:rPr>
          <w:rFonts w:ascii="Arial" w:hAnsi="Arial" w:cs="Arial"/>
          <w:snapToGrid w:val="0"/>
          <w:sz w:val="20"/>
        </w:rPr>
        <w:t>€/000</w:t>
      </w:r>
      <w:r w:rsidRPr="00F149B0">
        <w:rPr>
          <w:rFonts w:ascii="Arial" w:hAnsi="Arial" w:cs="Arial"/>
          <w:snapToGrid w:val="0"/>
          <w:sz w:val="20"/>
        </w:rPr>
        <w:t xml:space="preserve"> e 165 </w:t>
      </w:r>
      <w:r w:rsidR="00FA68F4">
        <w:rPr>
          <w:rFonts w:ascii="Arial" w:hAnsi="Arial" w:cs="Arial"/>
          <w:snapToGrid w:val="0"/>
          <w:sz w:val="20"/>
        </w:rPr>
        <w:t>€/000</w:t>
      </w:r>
    </w:p>
    <w:p w14:paraId="645A4363" w14:textId="5A651747" w:rsidR="0071146F" w:rsidRDefault="009536C7" w:rsidP="002D4D1D">
      <w:pPr>
        <w:widowControl w:val="0"/>
        <w:tabs>
          <w:tab w:val="left" w:pos="1598"/>
        </w:tabs>
        <w:spacing w:before="120" w:after="120"/>
        <w:jc w:val="both"/>
        <w:rPr>
          <w:rFonts w:ascii="Arial" w:hAnsi="Arial" w:cs="Arial"/>
          <w:snapToGrid w:val="0"/>
          <w:sz w:val="20"/>
        </w:rPr>
      </w:pPr>
      <w:r w:rsidRPr="006C6948">
        <w:rPr>
          <w:rFonts w:ascii="Arial" w:hAnsi="Arial" w:cs="Arial"/>
          <w:snapToGrid w:val="0"/>
          <w:sz w:val="20"/>
        </w:rPr>
        <w:t xml:space="preserve">Per quanto riguarda la Capogruppo, i debiti tributari sono riferibili </w:t>
      </w:r>
      <w:r w:rsidR="0071146F" w:rsidRPr="0071146F">
        <w:rPr>
          <w:rFonts w:ascii="Arial" w:hAnsi="Arial" w:cs="Arial"/>
          <w:snapToGrid w:val="0"/>
          <w:sz w:val="20"/>
        </w:rPr>
        <w:t xml:space="preserve">ad IVA in sospensione (circa </w:t>
      </w:r>
      <w:r w:rsidR="00BF76D0">
        <w:rPr>
          <w:rFonts w:ascii="Arial" w:hAnsi="Arial" w:cs="Arial"/>
          <w:snapToGrid w:val="0"/>
          <w:sz w:val="20"/>
        </w:rPr>
        <w:t>eu</w:t>
      </w:r>
      <w:r w:rsidR="0071146F" w:rsidRPr="0071146F">
        <w:rPr>
          <w:rFonts w:ascii="Arial" w:hAnsi="Arial" w:cs="Arial"/>
          <w:snapToGrid w:val="0"/>
          <w:sz w:val="20"/>
        </w:rPr>
        <w:t xml:space="preserve">ro </w:t>
      </w:r>
      <w:r w:rsidR="00BF76D0">
        <w:rPr>
          <w:rFonts w:ascii="Arial" w:hAnsi="Arial" w:cs="Arial"/>
          <w:snapToGrid w:val="0"/>
          <w:sz w:val="20"/>
        </w:rPr>
        <w:t>92</w:t>
      </w:r>
      <w:r w:rsidR="0071146F" w:rsidRPr="0071146F">
        <w:rPr>
          <w:rFonts w:ascii="Arial" w:hAnsi="Arial" w:cs="Arial"/>
          <w:snapToGrid w:val="0"/>
          <w:sz w:val="20"/>
        </w:rPr>
        <w:t xml:space="preserve"> mila), al debito per ritenute d’acconto su dipendenti e professionisti per circa </w:t>
      </w:r>
      <w:r w:rsidR="00693B59" w:rsidRPr="0071146F">
        <w:rPr>
          <w:rFonts w:ascii="Arial" w:hAnsi="Arial" w:cs="Arial"/>
          <w:snapToGrid w:val="0"/>
          <w:sz w:val="20"/>
        </w:rPr>
        <w:t>euro</w:t>
      </w:r>
      <w:r w:rsidR="0071146F" w:rsidRPr="0071146F">
        <w:rPr>
          <w:rFonts w:ascii="Arial" w:hAnsi="Arial" w:cs="Arial"/>
          <w:snapToGrid w:val="0"/>
          <w:sz w:val="20"/>
        </w:rPr>
        <w:t xml:space="preserve"> 1</w:t>
      </w:r>
      <w:r w:rsidR="00BF76D0">
        <w:rPr>
          <w:rFonts w:ascii="Arial" w:hAnsi="Arial" w:cs="Arial"/>
          <w:snapToGrid w:val="0"/>
          <w:sz w:val="20"/>
        </w:rPr>
        <w:t>1</w:t>
      </w:r>
      <w:r w:rsidR="0071146F" w:rsidRPr="0071146F">
        <w:rPr>
          <w:rFonts w:ascii="Arial" w:hAnsi="Arial" w:cs="Arial"/>
          <w:snapToGrid w:val="0"/>
          <w:sz w:val="20"/>
        </w:rPr>
        <w:t xml:space="preserve"> mila.</w:t>
      </w:r>
    </w:p>
    <w:p w14:paraId="7B38B45A" w14:textId="737D63F3" w:rsidR="00100B08" w:rsidRPr="00100B08" w:rsidRDefault="00100B08" w:rsidP="00100B08">
      <w:pPr>
        <w:widowControl w:val="0"/>
        <w:tabs>
          <w:tab w:val="left" w:pos="1598"/>
        </w:tabs>
        <w:spacing w:before="120" w:after="120"/>
        <w:jc w:val="both"/>
        <w:rPr>
          <w:rFonts w:ascii="Arial" w:hAnsi="Arial" w:cs="Arial"/>
          <w:snapToGrid w:val="0"/>
          <w:sz w:val="20"/>
        </w:rPr>
      </w:pPr>
      <w:r>
        <w:rPr>
          <w:rFonts w:ascii="Arial" w:hAnsi="Arial" w:cs="Arial"/>
          <w:snapToGrid w:val="0"/>
          <w:sz w:val="20"/>
        </w:rPr>
        <w:t>Si precisa, inoltre, che la controllata ANM</w:t>
      </w:r>
      <w:r w:rsidRPr="00100B08">
        <w:rPr>
          <w:rFonts w:ascii="Arial" w:hAnsi="Arial" w:cs="Arial"/>
          <w:snapToGrid w:val="0"/>
          <w:sz w:val="20"/>
        </w:rPr>
        <w:t xml:space="preserve"> ha ricevuto cartelle di pagamento che rappresentano una fraz</w:t>
      </w:r>
      <w:r>
        <w:rPr>
          <w:rFonts w:ascii="Arial" w:hAnsi="Arial" w:cs="Arial"/>
          <w:snapToGrid w:val="0"/>
          <w:sz w:val="20"/>
        </w:rPr>
        <w:t>ione del maggior debito erariale</w:t>
      </w:r>
      <w:r w:rsidRPr="00100B08">
        <w:rPr>
          <w:rFonts w:ascii="Arial" w:hAnsi="Arial" w:cs="Arial"/>
          <w:snapToGrid w:val="0"/>
          <w:sz w:val="20"/>
        </w:rPr>
        <w:t xml:space="preserve"> che l’Agenzia delle entrate ha certificato in sede di procedura concordataria, ritenendo che ANM fosse decaduta dai piani di rateazione derivanti dagli esiti della liquidazione delle dichiarazioni eseguita ai sensi degli artt. 36 bis del DPR n. 600/1973 e 54 bis del DPR n. 633/1972, e, dunque, dovesse corrispondere all’Erario non solo gli importi residui, comprensivi delle sanzioni irrogate nella misura del 10%, ma anche ulteriori sanzioni pari al 20% delle imposte originariamente non versate. </w:t>
      </w:r>
    </w:p>
    <w:p w14:paraId="496BCB18" w14:textId="77777777" w:rsidR="00100B08" w:rsidRPr="00100B08" w:rsidRDefault="00100B08" w:rsidP="00100B08">
      <w:pPr>
        <w:widowControl w:val="0"/>
        <w:tabs>
          <w:tab w:val="left" w:pos="1598"/>
        </w:tabs>
        <w:spacing w:before="120" w:after="120"/>
        <w:jc w:val="both"/>
        <w:rPr>
          <w:rFonts w:ascii="Arial" w:hAnsi="Arial" w:cs="Arial"/>
          <w:snapToGrid w:val="0"/>
          <w:sz w:val="20"/>
        </w:rPr>
      </w:pPr>
      <w:r w:rsidRPr="00100B08">
        <w:rPr>
          <w:rFonts w:ascii="Arial" w:hAnsi="Arial" w:cs="Arial"/>
          <w:snapToGrid w:val="0"/>
          <w:sz w:val="20"/>
        </w:rPr>
        <w:t xml:space="preserve">Invero, posto che la maggior parte delle somme richieste con le cartelle di pagamento </w:t>
      </w:r>
      <w:r w:rsidRPr="00100B08">
        <w:rPr>
          <w:rFonts w:ascii="Arial" w:hAnsi="Arial" w:cs="Arial"/>
          <w:i/>
          <w:iCs/>
          <w:snapToGrid w:val="0"/>
          <w:sz w:val="20"/>
        </w:rPr>
        <w:t xml:space="preserve">de quibus </w:t>
      </w:r>
      <w:r w:rsidRPr="00100B08">
        <w:rPr>
          <w:rFonts w:ascii="Arial" w:hAnsi="Arial" w:cs="Arial"/>
          <w:snapToGrid w:val="0"/>
          <w:sz w:val="20"/>
        </w:rPr>
        <w:t>sono già confluite nel coacervo dei debiti concordatari, le stesse sono state impugnate  e si ritiene che il rischio soccombenza sia possibile ma non probabile.</w:t>
      </w:r>
    </w:p>
    <w:p w14:paraId="75D80ED1" w14:textId="77777777" w:rsidR="009536C7" w:rsidRDefault="009536C7" w:rsidP="002D4D1D">
      <w:pPr>
        <w:widowControl w:val="0"/>
        <w:tabs>
          <w:tab w:val="left" w:pos="1598"/>
        </w:tabs>
        <w:spacing w:before="120" w:after="120"/>
        <w:jc w:val="both"/>
        <w:rPr>
          <w:rFonts w:ascii="Arial" w:hAnsi="Arial" w:cs="Arial"/>
          <w:b/>
          <w:snapToGrid w:val="0"/>
          <w:sz w:val="20"/>
          <w:u w:val="single"/>
        </w:rPr>
      </w:pPr>
      <w:r w:rsidRPr="006C6948">
        <w:rPr>
          <w:rFonts w:ascii="Arial" w:hAnsi="Arial" w:cs="Arial"/>
          <w:b/>
          <w:snapToGrid w:val="0"/>
          <w:sz w:val="20"/>
          <w:u w:val="single"/>
        </w:rPr>
        <w:t>Debiti verso istituti di previdenza</w:t>
      </w:r>
    </w:p>
    <w:p w14:paraId="7CBD70AB" w14:textId="517111CF" w:rsidR="00BF76D0" w:rsidRPr="00065FF1" w:rsidRDefault="00CE6109" w:rsidP="002D4D1D">
      <w:pPr>
        <w:widowControl w:val="0"/>
        <w:tabs>
          <w:tab w:val="left" w:pos="1598"/>
        </w:tabs>
        <w:spacing w:before="120" w:after="120"/>
        <w:jc w:val="both"/>
        <w:rPr>
          <w:rFonts w:ascii="Arial" w:hAnsi="Arial" w:cs="Arial"/>
          <w:bCs/>
          <w:snapToGrid w:val="0"/>
          <w:sz w:val="20"/>
        </w:rPr>
      </w:pPr>
      <w:r>
        <w:rPr>
          <w:noProof/>
        </w:rPr>
        <w:drawing>
          <wp:inline distT="0" distB="0" distL="0" distR="0" wp14:anchorId="3FC81061" wp14:editId="323FB78B">
            <wp:extent cx="5400675" cy="103822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1038225"/>
                    </a:xfrm>
                    <a:prstGeom prst="rect">
                      <a:avLst/>
                    </a:prstGeom>
                    <a:noFill/>
                    <a:ln>
                      <a:noFill/>
                    </a:ln>
                  </pic:spPr>
                </pic:pic>
              </a:graphicData>
            </a:graphic>
          </wp:inline>
        </w:drawing>
      </w:r>
    </w:p>
    <w:p w14:paraId="0A983CFF" w14:textId="77777777" w:rsidR="002B49D2" w:rsidRDefault="002B49D2" w:rsidP="002D4D1D">
      <w:pPr>
        <w:widowControl w:val="0"/>
        <w:tabs>
          <w:tab w:val="left" w:pos="1598"/>
        </w:tabs>
        <w:spacing w:before="120" w:after="120"/>
        <w:jc w:val="both"/>
        <w:rPr>
          <w:rFonts w:ascii="Arial" w:hAnsi="Arial" w:cs="Arial"/>
          <w:snapToGrid w:val="0"/>
          <w:sz w:val="20"/>
        </w:rPr>
      </w:pPr>
      <w:r w:rsidRPr="006C6948">
        <w:rPr>
          <w:rFonts w:ascii="Arial" w:hAnsi="Arial" w:cs="Arial"/>
          <w:snapToGrid w:val="0"/>
          <w:sz w:val="20"/>
        </w:rPr>
        <w:t>La voce “</w:t>
      </w:r>
      <w:r w:rsidRPr="006C6948">
        <w:rPr>
          <w:rFonts w:ascii="Arial" w:hAnsi="Arial" w:cs="Arial"/>
          <w:snapToGrid w:val="0"/>
          <w:color w:val="000000"/>
          <w:sz w:val="20"/>
        </w:rPr>
        <w:t>Debiti v/istituti previdenza e sicurezza sociale</w:t>
      </w:r>
      <w:r w:rsidRPr="006C6948">
        <w:rPr>
          <w:rFonts w:ascii="Arial" w:hAnsi="Arial" w:cs="Arial"/>
          <w:snapToGrid w:val="0"/>
          <w:sz w:val="20"/>
        </w:rPr>
        <w:t xml:space="preserve">” è composta principalmente da debiti vs Inps per contributi correnti, da debiti v/Inail per contributi correnti, da </w:t>
      </w:r>
      <w:r w:rsidRPr="00065FF1">
        <w:rPr>
          <w:rFonts w:ascii="Arial" w:hAnsi="Arial" w:cs="Arial"/>
          <w:snapToGrid w:val="0"/>
          <w:sz w:val="20"/>
        </w:rPr>
        <w:t>debiti</w:t>
      </w:r>
      <w:r w:rsidRPr="006C6948">
        <w:rPr>
          <w:rFonts w:ascii="Arial" w:hAnsi="Arial" w:cs="Arial"/>
          <w:snapToGrid w:val="0"/>
          <w:sz w:val="20"/>
        </w:rPr>
        <w:t xml:space="preserve"> per oneri assicurativi e previdenziali sul premio di risultato e sulle retribuzioni differite, oltre a debiti verso altri istituti previdenziali.</w:t>
      </w:r>
    </w:p>
    <w:p w14:paraId="0D68B345" w14:textId="77777777" w:rsidR="00F1022D" w:rsidRDefault="006C6948" w:rsidP="00F1022D">
      <w:pPr>
        <w:widowControl w:val="0"/>
        <w:tabs>
          <w:tab w:val="left" w:pos="1598"/>
        </w:tabs>
        <w:jc w:val="both"/>
        <w:rPr>
          <w:rFonts w:ascii="Arial" w:hAnsi="Arial" w:cs="Arial"/>
          <w:snapToGrid w:val="0"/>
          <w:sz w:val="20"/>
        </w:rPr>
      </w:pPr>
      <w:r w:rsidRPr="006C6948">
        <w:rPr>
          <w:rFonts w:ascii="Arial" w:hAnsi="Arial" w:cs="Arial"/>
          <w:snapToGrid w:val="0"/>
          <w:sz w:val="20"/>
        </w:rPr>
        <w:t>Tr</w:t>
      </w:r>
      <w:r>
        <w:rPr>
          <w:rFonts w:ascii="Arial" w:hAnsi="Arial" w:cs="Arial"/>
          <w:snapToGrid w:val="0"/>
          <w:sz w:val="20"/>
        </w:rPr>
        <w:t xml:space="preserve">a gli importi più significativi, che riguardano esclusivamente la </w:t>
      </w:r>
      <w:r w:rsidR="00F918C4">
        <w:rPr>
          <w:rFonts w:ascii="Arial" w:hAnsi="Arial" w:cs="Arial"/>
          <w:snapToGrid w:val="0"/>
          <w:sz w:val="20"/>
        </w:rPr>
        <w:t>controllata</w:t>
      </w:r>
      <w:r>
        <w:rPr>
          <w:rFonts w:ascii="Arial" w:hAnsi="Arial" w:cs="Arial"/>
          <w:snapToGrid w:val="0"/>
          <w:sz w:val="20"/>
        </w:rPr>
        <w:t xml:space="preserve">, </w:t>
      </w:r>
      <w:r w:rsidRPr="006C6948">
        <w:rPr>
          <w:rFonts w:ascii="Arial" w:hAnsi="Arial" w:cs="Arial"/>
          <w:snapToGrid w:val="0"/>
          <w:sz w:val="20"/>
        </w:rPr>
        <w:t>si segnalano</w:t>
      </w:r>
      <w:r w:rsidR="00F1022D">
        <w:rPr>
          <w:rFonts w:ascii="Arial" w:hAnsi="Arial" w:cs="Arial"/>
          <w:snapToGrid w:val="0"/>
          <w:sz w:val="20"/>
        </w:rPr>
        <w:t>:</w:t>
      </w:r>
    </w:p>
    <w:p w14:paraId="04B20D20" w14:textId="77777777" w:rsidR="00065FF1" w:rsidRDefault="00065FF1" w:rsidP="004D44D2">
      <w:pPr>
        <w:widowControl w:val="0"/>
        <w:numPr>
          <w:ilvl w:val="0"/>
          <w:numId w:val="39"/>
        </w:numPr>
        <w:ind w:left="284" w:hanging="284"/>
        <w:jc w:val="both"/>
        <w:rPr>
          <w:rFonts w:ascii="Arial" w:hAnsi="Arial" w:cs="Arial"/>
          <w:snapToGrid w:val="0"/>
          <w:sz w:val="20"/>
        </w:rPr>
      </w:pPr>
      <w:r w:rsidRPr="00065FF1">
        <w:rPr>
          <w:rFonts w:ascii="Arial" w:hAnsi="Arial" w:cs="Arial"/>
          <w:snapToGrid w:val="0"/>
          <w:sz w:val="20"/>
        </w:rPr>
        <w:t>contributi Inps dipendenti competenza dicembre 2019 pagati a gennaio 2020: 3.341 €/000;</w:t>
      </w:r>
    </w:p>
    <w:p w14:paraId="3DAE3ACC" w14:textId="77777777" w:rsidR="00065FF1" w:rsidRDefault="00065FF1" w:rsidP="004D44D2">
      <w:pPr>
        <w:widowControl w:val="0"/>
        <w:numPr>
          <w:ilvl w:val="0"/>
          <w:numId w:val="39"/>
        </w:numPr>
        <w:ind w:left="284" w:hanging="284"/>
        <w:jc w:val="both"/>
        <w:rPr>
          <w:rFonts w:ascii="Arial" w:hAnsi="Arial" w:cs="Arial"/>
          <w:snapToGrid w:val="0"/>
          <w:sz w:val="20"/>
        </w:rPr>
      </w:pPr>
      <w:r w:rsidRPr="00065FF1">
        <w:rPr>
          <w:rFonts w:ascii="Arial" w:hAnsi="Arial" w:cs="Arial"/>
          <w:snapToGrid w:val="0"/>
          <w:sz w:val="20"/>
        </w:rPr>
        <w:t>contributi previdenza complementare comp. Dicembre 2019 pagati a gennaio 2020: 586 €/000;</w:t>
      </w:r>
    </w:p>
    <w:p w14:paraId="60128A76" w14:textId="77777777" w:rsidR="00065FF1" w:rsidRDefault="00065FF1" w:rsidP="004D44D2">
      <w:pPr>
        <w:widowControl w:val="0"/>
        <w:numPr>
          <w:ilvl w:val="0"/>
          <w:numId w:val="39"/>
        </w:numPr>
        <w:ind w:left="284" w:hanging="284"/>
        <w:jc w:val="both"/>
        <w:rPr>
          <w:rFonts w:ascii="Arial" w:hAnsi="Arial" w:cs="Arial"/>
          <w:snapToGrid w:val="0"/>
          <w:sz w:val="20"/>
        </w:rPr>
      </w:pPr>
      <w:r w:rsidRPr="00065FF1">
        <w:rPr>
          <w:rFonts w:ascii="Arial" w:hAnsi="Arial" w:cs="Arial"/>
          <w:snapToGrid w:val="0"/>
          <w:sz w:val="20"/>
        </w:rPr>
        <w:t>contributi Inps dirigenti competenza dicembre 2019 pagati a gennaio 2020: 50 €/000;</w:t>
      </w:r>
    </w:p>
    <w:p w14:paraId="4256AF5A" w14:textId="77777777" w:rsidR="00065FF1" w:rsidRDefault="00065FF1" w:rsidP="004D44D2">
      <w:pPr>
        <w:widowControl w:val="0"/>
        <w:numPr>
          <w:ilvl w:val="0"/>
          <w:numId w:val="39"/>
        </w:numPr>
        <w:ind w:left="284" w:hanging="284"/>
        <w:jc w:val="both"/>
        <w:rPr>
          <w:rFonts w:ascii="Arial" w:hAnsi="Arial" w:cs="Arial"/>
          <w:snapToGrid w:val="0"/>
          <w:sz w:val="20"/>
        </w:rPr>
      </w:pPr>
      <w:r w:rsidRPr="00065FF1">
        <w:rPr>
          <w:rFonts w:ascii="Arial" w:hAnsi="Arial" w:cs="Arial"/>
          <w:snapToGrid w:val="0"/>
          <w:sz w:val="20"/>
        </w:rPr>
        <w:t>contributi previndai competenza dicembre 2019 pagati a gennaio 2020: 42 €/000;</w:t>
      </w:r>
    </w:p>
    <w:p w14:paraId="1291EB69" w14:textId="77777777" w:rsidR="00065FF1" w:rsidRDefault="00065FF1" w:rsidP="004D44D2">
      <w:pPr>
        <w:widowControl w:val="0"/>
        <w:numPr>
          <w:ilvl w:val="0"/>
          <w:numId w:val="39"/>
        </w:numPr>
        <w:ind w:left="284" w:hanging="284"/>
        <w:jc w:val="both"/>
        <w:rPr>
          <w:rFonts w:ascii="Arial" w:hAnsi="Arial" w:cs="Arial"/>
          <w:snapToGrid w:val="0"/>
          <w:sz w:val="20"/>
        </w:rPr>
      </w:pPr>
      <w:r w:rsidRPr="00065FF1">
        <w:rPr>
          <w:rFonts w:ascii="Arial" w:hAnsi="Arial" w:cs="Arial"/>
          <w:snapToGrid w:val="0"/>
          <w:sz w:val="20"/>
        </w:rPr>
        <w:t>altri (Inpgi, altre previdenze) 58 €/000;</w:t>
      </w:r>
    </w:p>
    <w:p w14:paraId="0300DB36" w14:textId="77777777" w:rsidR="00065FF1" w:rsidRDefault="00065FF1" w:rsidP="004D44D2">
      <w:pPr>
        <w:widowControl w:val="0"/>
        <w:numPr>
          <w:ilvl w:val="0"/>
          <w:numId w:val="39"/>
        </w:numPr>
        <w:ind w:left="284" w:hanging="284"/>
        <w:jc w:val="both"/>
        <w:rPr>
          <w:rFonts w:ascii="Arial" w:hAnsi="Arial" w:cs="Arial"/>
          <w:snapToGrid w:val="0"/>
          <w:sz w:val="20"/>
        </w:rPr>
      </w:pPr>
      <w:r w:rsidRPr="00065FF1">
        <w:rPr>
          <w:rFonts w:ascii="Arial" w:hAnsi="Arial" w:cs="Arial"/>
          <w:snapToGrid w:val="0"/>
          <w:sz w:val="20"/>
        </w:rPr>
        <w:t>contributi Inps dipendenti dicembre 2017 bloccati in concordato</w:t>
      </w:r>
      <w:r>
        <w:rPr>
          <w:rFonts w:ascii="Arial" w:hAnsi="Arial" w:cs="Arial"/>
          <w:snapToGrid w:val="0"/>
          <w:sz w:val="20"/>
        </w:rPr>
        <w:t>:</w:t>
      </w:r>
      <w:r w:rsidRPr="00065FF1">
        <w:rPr>
          <w:rFonts w:ascii="Arial" w:hAnsi="Arial" w:cs="Arial"/>
          <w:snapToGrid w:val="0"/>
          <w:sz w:val="20"/>
        </w:rPr>
        <w:t xml:space="preserve"> 3.979 €/000;</w:t>
      </w:r>
    </w:p>
    <w:p w14:paraId="52E665B5" w14:textId="77777777" w:rsidR="00065FF1" w:rsidRDefault="00065FF1" w:rsidP="004D44D2">
      <w:pPr>
        <w:widowControl w:val="0"/>
        <w:numPr>
          <w:ilvl w:val="0"/>
          <w:numId w:val="39"/>
        </w:numPr>
        <w:ind w:left="284" w:hanging="284"/>
        <w:jc w:val="both"/>
        <w:rPr>
          <w:rFonts w:ascii="Arial" w:hAnsi="Arial" w:cs="Arial"/>
          <w:snapToGrid w:val="0"/>
          <w:sz w:val="20"/>
        </w:rPr>
      </w:pPr>
      <w:r w:rsidRPr="00065FF1">
        <w:rPr>
          <w:rFonts w:ascii="Arial" w:hAnsi="Arial" w:cs="Arial"/>
          <w:snapToGrid w:val="0"/>
          <w:sz w:val="20"/>
        </w:rPr>
        <w:t>contributi Previdenza complementare luglio-dicembre 2017 bloccati in concordato: 3.020 €/000;</w:t>
      </w:r>
    </w:p>
    <w:p w14:paraId="6BD8A858" w14:textId="77777777" w:rsidR="00065FF1" w:rsidRDefault="00065FF1" w:rsidP="004D44D2">
      <w:pPr>
        <w:widowControl w:val="0"/>
        <w:numPr>
          <w:ilvl w:val="0"/>
          <w:numId w:val="39"/>
        </w:numPr>
        <w:ind w:left="284" w:hanging="284"/>
        <w:jc w:val="both"/>
        <w:rPr>
          <w:rFonts w:ascii="Arial" w:hAnsi="Arial" w:cs="Arial"/>
          <w:snapToGrid w:val="0"/>
          <w:sz w:val="20"/>
        </w:rPr>
      </w:pPr>
      <w:r w:rsidRPr="00065FF1">
        <w:rPr>
          <w:rFonts w:ascii="Arial" w:hAnsi="Arial" w:cs="Arial"/>
          <w:snapToGrid w:val="0"/>
          <w:sz w:val="20"/>
        </w:rPr>
        <w:t>oneri su ferie, premio, straordinario, non erogate: 2.172 €/000;</w:t>
      </w:r>
    </w:p>
    <w:p w14:paraId="71BF35C5" w14:textId="77777777" w:rsidR="00065FF1" w:rsidRDefault="00065FF1" w:rsidP="004D44D2">
      <w:pPr>
        <w:widowControl w:val="0"/>
        <w:numPr>
          <w:ilvl w:val="0"/>
          <w:numId w:val="39"/>
        </w:numPr>
        <w:ind w:left="284" w:hanging="284"/>
        <w:jc w:val="both"/>
        <w:rPr>
          <w:rFonts w:ascii="Arial" w:hAnsi="Arial" w:cs="Arial"/>
          <w:snapToGrid w:val="0"/>
          <w:sz w:val="20"/>
        </w:rPr>
      </w:pPr>
      <w:r w:rsidRPr="00065FF1">
        <w:rPr>
          <w:rFonts w:ascii="Arial" w:hAnsi="Arial" w:cs="Arial"/>
          <w:snapToGrid w:val="0"/>
          <w:sz w:val="20"/>
        </w:rPr>
        <w:t>oneri su competenze variabili non erogate perché parte dei debiti concordatari, pari a 311 €/000;</w:t>
      </w:r>
    </w:p>
    <w:p w14:paraId="4F7EC5DE" w14:textId="77777777" w:rsidR="00065FF1" w:rsidRDefault="00065FF1" w:rsidP="004D44D2">
      <w:pPr>
        <w:widowControl w:val="0"/>
        <w:numPr>
          <w:ilvl w:val="0"/>
          <w:numId w:val="39"/>
        </w:numPr>
        <w:ind w:left="284" w:hanging="284"/>
        <w:jc w:val="both"/>
        <w:rPr>
          <w:rFonts w:ascii="Arial" w:hAnsi="Arial" w:cs="Arial"/>
          <w:snapToGrid w:val="0"/>
          <w:sz w:val="20"/>
        </w:rPr>
      </w:pPr>
      <w:r w:rsidRPr="00065FF1">
        <w:rPr>
          <w:rFonts w:ascii="Arial" w:hAnsi="Arial" w:cs="Arial"/>
          <w:snapToGrid w:val="0"/>
          <w:sz w:val="20"/>
        </w:rPr>
        <w:t>contributi Inps dirigenti dicembre 2017 bloccati in concordato: 55 €/000;</w:t>
      </w:r>
    </w:p>
    <w:p w14:paraId="4D79C6DD" w14:textId="77777777" w:rsidR="00065FF1" w:rsidRPr="00065FF1" w:rsidRDefault="00065FF1" w:rsidP="004D44D2">
      <w:pPr>
        <w:widowControl w:val="0"/>
        <w:numPr>
          <w:ilvl w:val="0"/>
          <w:numId w:val="39"/>
        </w:numPr>
        <w:ind w:left="284" w:hanging="284"/>
        <w:jc w:val="both"/>
        <w:rPr>
          <w:rFonts w:ascii="Arial" w:hAnsi="Arial" w:cs="Arial"/>
          <w:snapToGrid w:val="0"/>
          <w:sz w:val="20"/>
        </w:rPr>
      </w:pPr>
      <w:r w:rsidRPr="00065FF1">
        <w:rPr>
          <w:rFonts w:ascii="Arial" w:hAnsi="Arial" w:cs="Arial"/>
          <w:snapToGrid w:val="0"/>
          <w:sz w:val="20"/>
        </w:rPr>
        <w:lastRenderedPageBreak/>
        <w:t>previndai e vari rientranti nella massa concordataria: 47 €/000</w:t>
      </w:r>
      <w:r>
        <w:rPr>
          <w:rFonts w:ascii="Arial" w:hAnsi="Arial" w:cs="Arial"/>
          <w:snapToGrid w:val="0"/>
          <w:sz w:val="20"/>
        </w:rPr>
        <w:t>.</w:t>
      </w:r>
    </w:p>
    <w:p w14:paraId="53CEF7BB" w14:textId="77777777" w:rsidR="009536C7" w:rsidRDefault="009536C7" w:rsidP="002D4D1D">
      <w:pPr>
        <w:widowControl w:val="0"/>
        <w:tabs>
          <w:tab w:val="left" w:pos="204"/>
        </w:tabs>
        <w:spacing w:before="120" w:after="120"/>
        <w:jc w:val="both"/>
        <w:rPr>
          <w:rFonts w:ascii="Arial" w:hAnsi="Arial" w:cs="Arial"/>
          <w:b/>
          <w:snapToGrid w:val="0"/>
          <w:sz w:val="20"/>
          <w:u w:val="single"/>
        </w:rPr>
      </w:pPr>
      <w:r w:rsidRPr="00F74908">
        <w:rPr>
          <w:rFonts w:ascii="Arial" w:hAnsi="Arial" w:cs="Arial"/>
          <w:b/>
          <w:snapToGrid w:val="0"/>
          <w:sz w:val="20"/>
          <w:u w:val="single"/>
        </w:rPr>
        <w:t>Debiti verso altri</w:t>
      </w:r>
    </w:p>
    <w:p w14:paraId="4602ACE8" w14:textId="50021363" w:rsidR="00D12659" w:rsidRPr="00D12659" w:rsidRDefault="00CE6109" w:rsidP="002D4D1D">
      <w:pPr>
        <w:widowControl w:val="0"/>
        <w:tabs>
          <w:tab w:val="left" w:pos="204"/>
        </w:tabs>
        <w:spacing w:before="120" w:after="120"/>
        <w:jc w:val="both"/>
        <w:rPr>
          <w:rFonts w:ascii="Arial" w:hAnsi="Arial" w:cs="Arial"/>
          <w:bCs/>
          <w:snapToGrid w:val="0"/>
          <w:sz w:val="20"/>
        </w:rPr>
      </w:pPr>
      <w:r>
        <w:rPr>
          <w:noProof/>
        </w:rPr>
        <w:drawing>
          <wp:inline distT="0" distB="0" distL="0" distR="0" wp14:anchorId="79293F4A" wp14:editId="335B48BC">
            <wp:extent cx="5400675" cy="103822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1038225"/>
                    </a:xfrm>
                    <a:prstGeom prst="rect">
                      <a:avLst/>
                    </a:prstGeom>
                    <a:noFill/>
                    <a:ln>
                      <a:noFill/>
                    </a:ln>
                  </pic:spPr>
                </pic:pic>
              </a:graphicData>
            </a:graphic>
          </wp:inline>
        </w:drawing>
      </w:r>
    </w:p>
    <w:p w14:paraId="6FB0104D" w14:textId="77777777" w:rsidR="00F95DC6" w:rsidRDefault="00111831" w:rsidP="00F1022D">
      <w:pPr>
        <w:pStyle w:val="Intestazione"/>
        <w:jc w:val="both"/>
        <w:rPr>
          <w:rFonts w:ascii="Arial" w:hAnsi="Arial" w:cs="Arial"/>
          <w:snapToGrid w:val="0"/>
        </w:rPr>
      </w:pPr>
      <w:r w:rsidRPr="00F74908">
        <w:rPr>
          <w:rFonts w:ascii="Arial" w:hAnsi="Arial" w:cs="Arial"/>
          <w:snapToGrid w:val="0"/>
          <w:szCs w:val="24"/>
        </w:rPr>
        <w:t>In particolare, gli importi più significativi riguardano la Contr</w:t>
      </w:r>
      <w:r w:rsidR="00F74908" w:rsidRPr="00F74908">
        <w:rPr>
          <w:rFonts w:ascii="Arial" w:hAnsi="Arial" w:cs="Arial"/>
          <w:snapToGrid w:val="0"/>
          <w:szCs w:val="24"/>
        </w:rPr>
        <w:t xml:space="preserve">ollata e sono relativi a debiti, </w:t>
      </w:r>
      <w:r w:rsidR="00F74908" w:rsidRPr="00F74908">
        <w:rPr>
          <w:rFonts w:ascii="Arial" w:hAnsi="Arial" w:cs="Arial"/>
          <w:snapToGrid w:val="0"/>
        </w:rPr>
        <w:t xml:space="preserve">estinguibili </w:t>
      </w:r>
      <w:r w:rsidR="00F74908" w:rsidRPr="00F74908">
        <w:rPr>
          <w:rFonts w:ascii="Arial" w:hAnsi="Arial" w:cs="Arial"/>
          <w:i/>
          <w:iCs/>
          <w:snapToGrid w:val="0"/>
        </w:rPr>
        <w:t xml:space="preserve">entro l'esercizio, </w:t>
      </w:r>
      <w:r w:rsidR="00F74908" w:rsidRPr="00F74908">
        <w:rPr>
          <w:rFonts w:ascii="Arial" w:hAnsi="Arial" w:cs="Arial"/>
          <w:snapToGrid w:val="0"/>
        </w:rPr>
        <w:t>verso il personale per retribuzioni ed altro. In particolare</w:t>
      </w:r>
      <w:r w:rsidR="00F95DC6">
        <w:rPr>
          <w:rFonts w:ascii="Arial" w:hAnsi="Arial" w:cs="Arial"/>
          <w:snapToGrid w:val="0"/>
        </w:rPr>
        <w:t>:</w:t>
      </w:r>
    </w:p>
    <w:p w14:paraId="506E59E0" w14:textId="77777777" w:rsidR="00F95DC6" w:rsidRDefault="00F95DC6" w:rsidP="00F1022D">
      <w:pPr>
        <w:pStyle w:val="Intestazione"/>
        <w:jc w:val="both"/>
        <w:rPr>
          <w:rFonts w:ascii="Arial" w:hAnsi="Arial" w:cs="Arial"/>
          <w:snapToGrid w:val="0"/>
        </w:rPr>
      </w:pPr>
    </w:p>
    <w:p w14:paraId="347AC29D" w14:textId="77777777" w:rsidR="00F95DC6" w:rsidRPr="00F95DC6" w:rsidRDefault="00F95DC6" w:rsidP="00F95DC6">
      <w:pPr>
        <w:pStyle w:val="Intestazione"/>
        <w:numPr>
          <w:ilvl w:val="0"/>
          <w:numId w:val="40"/>
        </w:numPr>
        <w:tabs>
          <w:tab w:val="clear" w:pos="4819"/>
          <w:tab w:val="clear" w:pos="9638"/>
        </w:tabs>
        <w:ind w:left="284" w:hanging="284"/>
        <w:rPr>
          <w:rFonts w:ascii="Arial" w:hAnsi="Arial" w:cs="Arial"/>
          <w:bCs/>
          <w:iCs/>
          <w:snapToGrid w:val="0"/>
        </w:rPr>
      </w:pPr>
      <w:r w:rsidRPr="00F95DC6">
        <w:rPr>
          <w:rFonts w:ascii="Arial" w:hAnsi="Arial" w:cs="Arial"/>
          <w:bCs/>
          <w:iCs/>
          <w:snapToGrid w:val="0"/>
        </w:rPr>
        <w:t xml:space="preserve">competenze per premio produzione maturate negli anni precedenti e non ancora liquidate (2.906 €/000); </w:t>
      </w:r>
    </w:p>
    <w:p w14:paraId="6488CB83" w14:textId="77777777" w:rsidR="00F95DC6" w:rsidRPr="00F95DC6" w:rsidRDefault="00F95DC6" w:rsidP="00F95DC6">
      <w:pPr>
        <w:pStyle w:val="Intestazione"/>
        <w:numPr>
          <w:ilvl w:val="0"/>
          <w:numId w:val="40"/>
        </w:numPr>
        <w:tabs>
          <w:tab w:val="clear" w:pos="4819"/>
          <w:tab w:val="clear" w:pos="9638"/>
        </w:tabs>
        <w:ind w:left="284" w:hanging="284"/>
        <w:rPr>
          <w:rFonts w:ascii="Arial" w:hAnsi="Arial" w:cs="Arial"/>
          <w:bCs/>
          <w:iCs/>
          <w:snapToGrid w:val="0"/>
        </w:rPr>
      </w:pPr>
      <w:r w:rsidRPr="00F95DC6">
        <w:rPr>
          <w:rFonts w:ascii="Arial" w:hAnsi="Arial" w:cs="Arial"/>
          <w:bCs/>
          <w:iCs/>
          <w:snapToGrid w:val="0"/>
        </w:rPr>
        <w:t>-competenze per straordinario ed altri elementi di retribuzione variabile maturati a dicembre 2017 e non ancora liquidati facendo parte dei debiti del concordato (930 €/000);</w:t>
      </w:r>
    </w:p>
    <w:p w14:paraId="6EF44F8E" w14:textId="77777777" w:rsidR="00F95DC6" w:rsidRPr="00F95DC6" w:rsidRDefault="00F95DC6" w:rsidP="00F95DC6">
      <w:pPr>
        <w:pStyle w:val="Intestazione"/>
        <w:numPr>
          <w:ilvl w:val="0"/>
          <w:numId w:val="40"/>
        </w:numPr>
        <w:tabs>
          <w:tab w:val="clear" w:pos="4819"/>
          <w:tab w:val="clear" w:pos="9638"/>
        </w:tabs>
        <w:ind w:left="284" w:hanging="284"/>
        <w:rPr>
          <w:rFonts w:ascii="Arial" w:hAnsi="Arial" w:cs="Arial"/>
          <w:bCs/>
          <w:iCs/>
          <w:snapToGrid w:val="0"/>
        </w:rPr>
      </w:pPr>
      <w:r w:rsidRPr="00F95DC6">
        <w:rPr>
          <w:rFonts w:ascii="Arial" w:hAnsi="Arial" w:cs="Arial"/>
          <w:bCs/>
          <w:iCs/>
          <w:snapToGrid w:val="0"/>
        </w:rPr>
        <w:t>-debiti verso dipendenti per soccombenza cause lavoro, non pagabili perché rientranti nella massa concordataria: 1.024 €/000;</w:t>
      </w:r>
    </w:p>
    <w:p w14:paraId="2D9CFB2A" w14:textId="77777777" w:rsidR="00F95DC6" w:rsidRPr="00F95DC6" w:rsidRDefault="00F95DC6" w:rsidP="00F95DC6">
      <w:pPr>
        <w:pStyle w:val="Intestazione"/>
        <w:numPr>
          <w:ilvl w:val="0"/>
          <w:numId w:val="40"/>
        </w:numPr>
        <w:tabs>
          <w:tab w:val="clear" w:pos="4819"/>
          <w:tab w:val="clear" w:pos="9638"/>
        </w:tabs>
        <w:ind w:left="284" w:hanging="284"/>
        <w:rPr>
          <w:rFonts w:ascii="Arial" w:hAnsi="Arial" w:cs="Arial"/>
          <w:snapToGrid w:val="0"/>
        </w:rPr>
      </w:pPr>
      <w:r w:rsidRPr="00F95DC6">
        <w:rPr>
          <w:rFonts w:ascii="Arial" w:hAnsi="Arial" w:cs="Arial"/>
          <w:bCs/>
          <w:iCs/>
          <w:snapToGrid w:val="0"/>
        </w:rPr>
        <w:t>-debiti per ferie personale in quiescenza (887 €/000);</w:t>
      </w:r>
    </w:p>
    <w:p w14:paraId="7A5C4868" w14:textId="77777777" w:rsidR="00F95DC6" w:rsidRPr="00F95DC6" w:rsidRDefault="00F95DC6" w:rsidP="00F95DC6">
      <w:pPr>
        <w:pStyle w:val="Intestazione"/>
        <w:numPr>
          <w:ilvl w:val="0"/>
          <w:numId w:val="40"/>
        </w:numPr>
        <w:tabs>
          <w:tab w:val="clear" w:pos="4819"/>
          <w:tab w:val="clear" w:pos="9638"/>
        </w:tabs>
        <w:ind w:left="284" w:hanging="284"/>
        <w:rPr>
          <w:rFonts w:ascii="Arial" w:hAnsi="Arial" w:cs="Arial"/>
          <w:bCs/>
          <w:iCs/>
          <w:snapToGrid w:val="0"/>
        </w:rPr>
      </w:pPr>
      <w:r w:rsidRPr="00F95DC6">
        <w:rPr>
          <w:rFonts w:ascii="Arial" w:hAnsi="Arial" w:cs="Arial"/>
          <w:bCs/>
          <w:iCs/>
          <w:snapToGrid w:val="0"/>
        </w:rPr>
        <w:t xml:space="preserve">-debiti per ferie maturate e non liquidate (3.713 €/000); </w:t>
      </w:r>
    </w:p>
    <w:p w14:paraId="4152A8EE" w14:textId="77777777" w:rsidR="00F95DC6" w:rsidRPr="00F95DC6" w:rsidRDefault="00F95DC6" w:rsidP="00F95DC6">
      <w:pPr>
        <w:pStyle w:val="Intestazione"/>
        <w:numPr>
          <w:ilvl w:val="0"/>
          <w:numId w:val="40"/>
        </w:numPr>
        <w:tabs>
          <w:tab w:val="clear" w:pos="4819"/>
          <w:tab w:val="clear" w:pos="9638"/>
        </w:tabs>
        <w:ind w:left="284" w:hanging="284"/>
        <w:rPr>
          <w:rFonts w:ascii="Arial" w:hAnsi="Arial" w:cs="Arial"/>
          <w:bCs/>
          <w:iCs/>
          <w:snapToGrid w:val="0"/>
        </w:rPr>
      </w:pPr>
      <w:r w:rsidRPr="00F95DC6">
        <w:rPr>
          <w:rFonts w:ascii="Arial" w:hAnsi="Arial" w:cs="Arial"/>
          <w:bCs/>
          <w:iCs/>
          <w:snapToGrid w:val="0"/>
        </w:rPr>
        <w:t>-competenze per straordinario ed altri elementi di retribuzione variabile maturati a dicembre 2019 e liquidati a gennaio 2020: 692 €/000</w:t>
      </w:r>
    </w:p>
    <w:p w14:paraId="1B2782B6" w14:textId="77777777" w:rsidR="0003789D" w:rsidRDefault="002A0A3A" w:rsidP="00F74908">
      <w:pPr>
        <w:pStyle w:val="Intestazione"/>
        <w:tabs>
          <w:tab w:val="clear" w:pos="4819"/>
          <w:tab w:val="clear" w:pos="9638"/>
        </w:tabs>
        <w:spacing w:before="120"/>
        <w:jc w:val="both"/>
        <w:rPr>
          <w:rFonts w:ascii="Arial" w:hAnsi="Arial" w:cs="Arial"/>
          <w:snapToGrid w:val="0"/>
          <w:szCs w:val="24"/>
        </w:rPr>
      </w:pPr>
      <w:r w:rsidRPr="00F74908">
        <w:rPr>
          <w:rFonts w:ascii="Arial" w:hAnsi="Arial" w:cs="Arial"/>
          <w:snapToGrid w:val="0"/>
          <w:szCs w:val="24"/>
        </w:rPr>
        <w:t xml:space="preserve">Mentre per quanto riguarda gli “Altri debiti” della Napoli Holding gli importi più rilevanti afferiscono, essenzialmente, </w:t>
      </w:r>
      <w:r w:rsidR="002F31C6" w:rsidRPr="002F31C6">
        <w:rPr>
          <w:rFonts w:ascii="Arial" w:hAnsi="Arial" w:cs="Arial"/>
          <w:snapToGrid w:val="0"/>
          <w:szCs w:val="24"/>
        </w:rPr>
        <w:t xml:space="preserve">al </w:t>
      </w:r>
      <w:r w:rsidR="0003789D" w:rsidRPr="0003789D">
        <w:rPr>
          <w:rFonts w:ascii="Arial" w:hAnsi="Arial" w:cs="Arial"/>
          <w:snapToGrid w:val="0"/>
          <w:szCs w:val="24"/>
        </w:rPr>
        <w:t>debito verso il personale per ratei quattordicesima e ferie e festività maturati per circa euro 18 mila, ai debiti per la Tares ex TARSU relativa agli anni precedenti (circa Euro 5 mila) e a debiti diversi relativi ad anni pregressi</w:t>
      </w:r>
    </w:p>
    <w:p w14:paraId="55CE4832" w14:textId="77777777" w:rsidR="009536C7" w:rsidRDefault="009536C7" w:rsidP="002D4D1D">
      <w:pPr>
        <w:widowControl w:val="0"/>
        <w:tabs>
          <w:tab w:val="left" w:pos="204"/>
        </w:tabs>
        <w:spacing w:before="120" w:after="120"/>
        <w:jc w:val="both"/>
        <w:rPr>
          <w:rFonts w:ascii="Arial" w:hAnsi="Arial" w:cs="Arial"/>
          <w:b/>
          <w:snapToGrid w:val="0"/>
          <w:sz w:val="20"/>
          <w:u w:val="single"/>
        </w:rPr>
      </w:pPr>
      <w:r w:rsidRPr="003B4CB8">
        <w:rPr>
          <w:rFonts w:ascii="Arial" w:hAnsi="Arial" w:cs="Arial"/>
          <w:b/>
          <w:snapToGrid w:val="0"/>
          <w:sz w:val="20"/>
          <w:u w:val="single"/>
        </w:rPr>
        <w:t>Ratei e risconti passivi</w:t>
      </w:r>
    </w:p>
    <w:p w14:paraId="65B49C53" w14:textId="6A369772" w:rsidR="00E033FB" w:rsidRPr="00E033FB" w:rsidRDefault="00CE6109" w:rsidP="002D4D1D">
      <w:pPr>
        <w:widowControl w:val="0"/>
        <w:tabs>
          <w:tab w:val="left" w:pos="204"/>
        </w:tabs>
        <w:spacing w:before="120" w:after="120"/>
        <w:jc w:val="both"/>
        <w:rPr>
          <w:rFonts w:ascii="Arial" w:hAnsi="Arial" w:cs="Arial"/>
          <w:bCs/>
          <w:snapToGrid w:val="0"/>
          <w:sz w:val="20"/>
        </w:rPr>
      </w:pPr>
      <w:r>
        <w:rPr>
          <w:noProof/>
        </w:rPr>
        <w:drawing>
          <wp:inline distT="0" distB="0" distL="0" distR="0" wp14:anchorId="3E6DE2DC" wp14:editId="1B1405FE">
            <wp:extent cx="5400675" cy="74295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675" cy="742950"/>
                    </a:xfrm>
                    <a:prstGeom prst="rect">
                      <a:avLst/>
                    </a:prstGeom>
                    <a:noFill/>
                    <a:ln>
                      <a:noFill/>
                    </a:ln>
                  </pic:spPr>
                </pic:pic>
              </a:graphicData>
            </a:graphic>
          </wp:inline>
        </w:drawing>
      </w:r>
    </w:p>
    <w:p w14:paraId="5CDE0726" w14:textId="77777777" w:rsidR="00E11C31" w:rsidRPr="003B4CB8" w:rsidRDefault="00E11C31" w:rsidP="002F31C6">
      <w:pPr>
        <w:pStyle w:val="Intestazione"/>
        <w:tabs>
          <w:tab w:val="clear" w:pos="4819"/>
          <w:tab w:val="clear" w:pos="9638"/>
        </w:tabs>
        <w:jc w:val="both"/>
        <w:rPr>
          <w:rFonts w:ascii="Arial" w:hAnsi="Arial" w:cs="Arial"/>
          <w:snapToGrid w:val="0"/>
          <w:szCs w:val="24"/>
        </w:rPr>
      </w:pPr>
      <w:r w:rsidRPr="003B4CB8">
        <w:rPr>
          <w:rFonts w:ascii="Arial" w:hAnsi="Arial" w:cs="Arial"/>
          <w:snapToGrid w:val="0"/>
          <w:szCs w:val="24"/>
        </w:rPr>
        <w:t>La voce è di esclusiva pertinenza della Controllata.</w:t>
      </w:r>
    </w:p>
    <w:p w14:paraId="4CC52554" w14:textId="30A6F2F9" w:rsidR="00E033FB" w:rsidRPr="00E033FB" w:rsidRDefault="00E033FB" w:rsidP="00E033FB">
      <w:pPr>
        <w:pStyle w:val="Intestazione"/>
        <w:spacing w:before="120" w:after="120"/>
        <w:rPr>
          <w:rFonts w:ascii="Arial" w:hAnsi="Arial" w:cs="Arial"/>
          <w:snapToGrid w:val="0"/>
        </w:rPr>
      </w:pPr>
      <w:r w:rsidRPr="00E033FB">
        <w:rPr>
          <w:rFonts w:ascii="Arial" w:hAnsi="Arial" w:cs="Arial"/>
          <w:snapToGrid w:val="0"/>
        </w:rPr>
        <w:t xml:space="preserve">I risconti passivi al 31.12.2019 ammontano a 1.771 </w:t>
      </w:r>
      <w:r w:rsidR="00FA68F4">
        <w:rPr>
          <w:rFonts w:ascii="Arial" w:hAnsi="Arial" w:cs="Arial"/>
          <w:i/>
          <w:snapToGrid w:val="0"/>
        </w:rPr>
        <w:t>€/000</w:t>
      </w:r>
      <w:r w:rsidRPr="00E033FB">
        <w:rPr>
          <w:rFonts w:ascii="Arial" w:hAnsi="Arial" w:cs="Arial"/>
          <w:snapToGrid w:val="0"/>
        </w:rPr>
        <w:t>.</w:t>
      </w:r>
    </w:p>
    <w:p w14:paraId="4235F044" w14:textId="77777777" w:rsidR="00E033FB" w:rsidRPr="00E033FB" w:rsidRDefault="00E033FB" w:rsidP="00E033FB">
      <w:pPr>
        <w:pStyle w:val="Intestazione"/>
        <w:spacing w:after="120"/>
        <w:rPr>
          <w:rFonts w:ascii="Arial" w:hAnsi="Arial" w:cs="Arial"/>
          <w:snapToGrid w:val="0"/>
        </w:rPr>
      </w:pPr>
      <w:r w:rsidRPr="00E033FB">
        <w:rPr>
          <w:rFonts w:ascii="Arial" w:hAnsi="Arial" w:cs="Arial"/>
          <w:snapToGrid w:val="0"/>
        </w:rPr>
        <w:t>Essi fanno principalmente riferimento a contributi ricevuti dal Comune destinati a copertura dell’acquisto di cespiti ammortizzati. Pertanto, i relativi importi sono riscontati con la stessa percentuale di ammortamento degli stessi.</w:t>
      </w:r>
    </w:p>
    <w:p w14:paraId="2A4F37FF" w14:textId="2313AEB0" w:rsidR="00E033FB" w:rsidRPr="00E033FB" w:rsidRDefault="00E033FB" w:rsidP="00E033FB">
      <w:pPr>
        <w:pStyle w:val="Intestazione"/>
        <w:spacing w:after="120"/>
        <w:rPr>
          <w:rFonts w:ascii="Arial" w:hAnsi="Arial" w:cs="Arial"/>
          <w:snapToGrid w:val="0"/>
        </w:rPr>
      </w:pPr>
      <w:r w:rsidRPr="00E033FB">
        <w:rPr>
          <w:rFonts w:ascii="Arial" w:hAnsi="Arial" w:cs="Arial"/>
          <w:snapToGrid w:val="0"/>
        </w:rPr>
        <w:t xml:space="preserve">Inoltre, per 946 </w:t>
      </w:r>
      <w:r w:rsidR="00FA68F4">
        <w:rPr>
          <w:rFonts w:ascii="Arial" w:hAnsi="Arial" w:cs="Arial"/>
          <w:i/>
          <w:snapToGrid w:val="0"/>
        </w:rPr>
        <w:t>€/000</w:t>
      </w:r>
      <w:r w:rsidRPr="00E033FB">
        <w:rPr>
          <w:rFonts w:ascii="Arial" w:hAnsi="Arial" w:cs="Arial"/>
          <w:i/>
          <w:snapToGrid w:val="0"/>
        </w:rPr>
        <w:t xml:space="preserve"> </w:t>
      </w:r>
      <w:r w:rsidRPr="00E033FB">
        <w:rPr>
          <w:rFonts w:ascii="Arial" w:hAnsi="Arial" w:cs="Arial"/>
          <w:snapToGrid w:val="0"/>
        </w:rPr>
        <w:t xml:space="preserve">fanno riferimento ad una quota fatturata degli interventi diretti ad elevare il livello di sicurezza nel TPL e il loro sviluppo in attuazione dell'art. 2 Co. 54 Legge 286/2006 delibera di giunta comunale 475/2011 - Determina di giunta dirigenziale n. 66/2011. In particolare, trattasi di importi per i quali </w:t>
      </w:r>
      <w:r w:rsidR="002A4703">
        <w:rPr>
          <w:rFonts w:ascii="Arial" w:hAnsi="Arial" w:cs="Arial"/>
          <w:snapToGrid w:val="0"/>
        </w:rPr>
        <w:t xml:space="preserve">il Gruppo </w:t>
      </w:r>
      <w:r w:rsidRPr="00E033FB">
        <w:rPr>
          <w:rFonts w:ascii="Arial" w:hAnsi="Arial" w:cs="Arial"/>
          <w:snapToGrid w:val="0"/>
        </w:rPr>
        <w:t>non ha ancora svolto il relativo servizio e pertanto gli stessi sono stati oggetto di risconto.</w:t>
      </w:r>
    </w:p>
    <w:p w14:paraId="3C23FC91" w14:textId="6E546FE9" w:rsidR="00E033FB" w:rsidRPr="00E033FB" w:rsidRDefault="00E033FB" w:rsidP="00E033FB">
      <w:pPr>
        <w:pStyle w:val="Intestazione"/>
        <w:spacing w:after="120"/>
        <w:jc w:val="both"/>
        <w:rPr>
          <w:rFonts w:ascii="Arial" w:hAnsi="Arial" w:cs="Arial"/>
          <w:b/>
          <w:snapToGrid w:val="0"/>
        </w:rPr>
      </w:pPr>
      <w:r w:rsidRPr="00E033FB">
        <w:rPr>
          <w:rFonts w:ascii="Arial" w:hAnsi="Arial" w:cs="Arial"/>
          <w:snapToGrid w:val="0"/>
        </w:rPr>
        <w:t>I ratei passivi ammontano a 6</w:t>
      </w:r>
      <w:r w:rsidRPr="00E033FB">
        <w:rPr>
          <w:rFonts w:ascii="Arial" w:hAnsi="Arial" w:cs="Arial"/>
          <w:b/>
          <w:snapToGrid w:val="0"/>
        </w:rPr>
        <w:t xml:space="preserve"> </w:t>
      </w:r>
      <w:r w:rsidR="00FA68F4">
        <w:rPr>
          <w:rFonts w:ascii="Arial" w:hAnsi="Arial" w:cs="Arial"/>
          <w:i/>
          <w:snapToGrid w:val="0"/>
        </w:rPr>
        <w:t>€/000</w:t>
      </w:r>
    </w:p>
    <w:p w14:paraId="4B9D12BA" w14:textId="77777777" w:rsidR="00EE4AF0" w:rsidRPr="00B7189C" w:rsidRDefault="009938BD" w:rsidP="002D4D1D">
      <w:pPr>
        <w:widowControl w:val="0"/>
        <w:shd w:val="clear" w:color="auto" w:fill="F3F3F3"/>
        <w:tabs>
          <w:tab w:val="left" w:pos="567"/>
          <w:tab w:val="left" w:pos="7766"/>
        </w:tabs>
        <w:spacing w:before="120" w:after="120"/>
        <w:jc w:val="both"/>
        <w:rPr>
          <w:rFonts w:ascii="Arial" w:hAnsi="Arial" w:cs="Arial"/>
          <w:b/>
          <w:snapToGrid w:val="0"/>
          <w:sz w:val="20"/>
        </w:rPr>
      </w:pPr>
      <w:r w:rsidRPr="00B7189C">
        <w:rPr>
          <w:rFonts w:ascii="Arial" w:hAnsi="Arial" w:cs="Arial"/>
          <w:b/>
          <w:bCs/>
          <w:sz w:val="20"/>
        </w:rPr>
        <w:t xml:space="preserve">Analisi </w:t>
      </w:r>
      <w:r w:rsidR="00693B59" w:rsidRPr="00B7189C">
        <w:rPr>
          <w:rFonts w:ascii="Arial" w:hAnsi="Arial" w:cs="Arial"/>
          <w:b/>
          <w:bCs/>
          <w:sz w:val="20"/>
        </w:rPr>
        <w:t>delle voci</w:t>
      </w:r>
      <w:r w:rsidR="00EE4AF0" w:rsidRPr="00B7189C">
        <w:rPr>
          <w:rFonts w:ascii="Arial" w:hAnsi="Arial" w:cs="Arial"/>
          <w:b/>
          <w:bCs/>
          <w:sz w:val="20"/>
        </w:rPr>
        <w:t xml:space="preserve"> del conto economico (valore della produzione)</w:t>
      </w:r>
    </w:p>
    <w:p w14:paraId="63E4516B" w14:textId="77777777" w:rsidR="00EE4AF0" w:rsidRPr="00B7189C" w:rsidRDefault="00EE4AF0" w:rsidP="002D4D1D">
      <w:pPr>
        <w:widowControl w:val="0"/>
        <w:tabs>
          <w:tab w:val="left" w:pos="204"/>
        </w:tabs>
        <w:spacing w:before="120" w:after="120"/>
        <w:jc w:val="both"/>
        <w:rPr>
          <w:rFonts w:ascii="Arial" w:hAnsi="Arial" w:cs="Arial"/>
          <w:b/>
          <w:snapToGrid w:val="0"/>
          <w:sz w:val="20"/>
        </w:rPr>
      </w:pPr>
      <w:r w:rsidRPr="00B7189C">
        <w:rPr>
          <w:rFonts w:ascii="Arial" w:hAnsi="Arial" w:cs="Arial"/>
          <w:b/>
          <w:snapToGrid w:val="0"/>
          <w:sz w:val="20"/>
        </w:rPr>
        <w:t>Ricavi delle vendite e delle prestazioni</w:t>
      </w:r>
    </w:p>
    <w:p w14:paraId="49146CA2" w14:textId="77777777" w:rsidR="00EE4AF0" w:rsidRPr="00B7189C" w:rsidRDefault="00EE4AF0" w:rsidP="002D4D1D">
      <w:pPr>
        <w:widowControl w:val="0"/>
        <w:spacing w:before="120" w:after="120"/>
        <w:jc w:val="both"/>
        <w:rPr>
          <w:rFonts w:ascii="Arial" w:hAnsi="Arial" w:cs="Arial"/>
          <w:sz w:val="20"/>
        </w:rPr>
      </w:pPr>
      <w:r w:rsidRPr="00B7189C">
        <w:rPr>
          <w:rFonts w:ascii="Arial" w:hAnsi="Arial" w:cs="Arial"/>
          <w:sz w:val="20"/>
        </w:rPr>
        <w:t xml:space="preserve">La voce ricavi delle vendite e delle prestazioni si riferisce a vendite e/o prestazioni </w:t>
      </w:r>
      <w:r w:rsidR="00E30F22" w:rsidRPr="00B7189C">
        <w:rPr>
          <w:rFonts w:ascii="Arial" w:hAnsi="Arial" w:cs="Arial"/>
          <w:sz w:val="20"/>
        </w:rPr>
        <w:t>del Gruppo</w:t>
      </w:r>
      <w:r w:rsidRPr="00B7189C">
        <w:rPr>
          <w:rFonts w:ascii="Arial" w:hAnsi="Arial" w:cs="Arial"/>
          <w:sz w:val="20"/>
        </w:rPr>
        <w:t xml:space="preserve"> verso propri clienti.</w:t>
      </w:r>
    </w:p>
    <w:p w14:paraId="2F9858DF" w14:textId="77777777" w:rsidR="00172483" w:rsidRDefault="00EE4AF0" w:rsidP="002D4D1D">
      <w:pPr>
        <w:widowControl w:val="0"/>
        <w:tabs>
          <w:tab w:val="left" w:pos="204"/>
        </w:tabs>
        <w:spacing w:before="120" w:after="120"/>
        <w:jc w:val="both"/>
        <w:rPr>
          <w:rFonts w:ascii="Arial" w:hAnsi="Arial" w:cs="Arial"/>
          <w:snapToGrid w:val="0"/>
          <w:sz w:val="20"/>
        </w:rPr>
      </w:pPr>
      <w:r w:rsidRPr="006914EB">
        <w:rPr>
          <w:rFonts w:ascii="Arial" w:hAnsi="Arial" w:cs="Arial"/>
          <w:snapToGrid w:val="0"/>
          <w:sz w:val="20"/>
        </w:rPr>
        <w:lastRenderedPageBreak/>
        <w:t>La voce è così composta:</w:t>
      </w:r>
    </w:p>
    <w:p w14:paraId="02962A93" w14:textId="697D6A64" w:rsidR="00D7374D" w:rsidRDefault="00CE6109" w:rsidP="002D4D1D">
      <w:pPr>
        <w:widowControl w:val="0"/>
        <w:tabs>
          <w:tab w:val="left" w:pos="204"/>
        </w:tabs>
        <w:spacing w:before="120" w:after="120"/>
        <w:jc w:val="both"/>
        <w:rPr>
          <w:rFonts w:ascii="Arial" w:hAnsi="Arial" w:cs="Arial"/>
          <w:snapToGrid w:val="0"/>
          <w:sz w:val="20"/>
        </w:rPr>
      </w:pPr>
      <w:r>
        <w:rPr>
          <w:noProof/>
        </w:rPr>
        <w:drawing>
          <wp:inline distT="0" distB="0" distL="0" distR="0" wp14:anchorId="18A4D7D5" wp14:editId="48F13B51">
            <wp:extent cx="5400675" cy="1685925"/>
            <wp:effectExtent l="0" t="0" r="9525"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685925"/>
                    </a:xfrm>
                    <a:prstGeom prst="rect">
                      <a:avLst/>
                    </a:prstGeom>
                    <a:noFill/>
                    <a:ln>
                      <a:noFill/>
                    </a:ln>
                  </pic:spPr>
                </pic:pic>
              </a:graphicData>
            </a:graphic>
          </wp:inline>
        </w:drawing>
      </w:r>
    </w:p>
    <w:p w14:paraId="55EBE86C" w14:textId="77777777" w:rsidR="00784C9F" w:rsidRPr="006914EB" w:rsidRDefault="00747476" w:rsidP="002D4D1D">
      <w:pPr>
        <w:widowControl w:val="0"/>
        <w:tabs>
          <w:tab w:val="left" w:pos="204"/>
        </w:tabs>
        <w:spacing w:before="120" w:after="120"/>
        <w:jc w:val="both"/>
        <w:rPr>
          <w:rFonts w:ascii="Arial" w:hAnsi="Arial" w:cs="Arial"/>
          <w:snapToGrid w:val="0"/>
          <w:sz w:val="20"/>
        </w:rPr>
      </w:pPr>
      <w:r w:rsidRPr="006914EB">
        <w:rPr>
          <w:rFonts w:ascii="Arial" w:hAnsi="Arial" w:cs="Arial"/>
          <w:snapToGrid w:val="0"/>
          <w:sz w:val="20"/>
        </w:rPr>
        <w:t>Questa voc</w:t>
      </w:r>
      <w:r w:rsidR="00912B07" w:rsidRPr="006914EB">
        <w:rPr>
          <w:rFonts w:ascii="Arial" w:hAnsi="Arial" w:cs="Arial"/>
          <w:snapToGrid w:val="0"/>
          <w:sz w:val="20"/>
        </w:rPr>
        <w:t xml:space="preserve">e raggruppa tutti gli introiti derivanti dalla gestione </w:t>
      </w:r>
      <w:r w:rsidRPr="006914EB">
        <w:rPr>
          <w:rFonts w:ascii="Arial" w:hAnsi="Arial" w:cs="Arial"/>
          <w:snapToGrid w:val="0"/>
          <w:sz w:val="20"/>
        </w:rPr>
        <w:t>caratteristica del Gruppo</w:t>
      </w:r>
      <w:r w:rsidR="00A24401" w:rsidRPr="006914EB">
        <w:rPr>
          <w:rFonts w:ascii="Arial" w:hAnsi="Arial" w:cs="Arial"/>
          <w:snapToGrid w:val="0"/>
          <w:sz w:val="20"/>
        </w:rPr>
        <w:t>.</w:t>
      </w:r>
      <w:r w:rsidRPr="006914EB">
        <w:rPr>
          <w:rFonts w:ascii="Arial" w:hAnsi="Arial" w:cs="Arial"/>
          <w:snapToGrid w:val="0"/>
          <w:sz w:val="20"/>
        </w:rPr>
        <w:t xml:space="preserve"> </w:t>
      </w:r>
      <w:r w:rsidR="00A34C00" w:rsidRPr="006914EB">
        <w:rPr>
          <w:rFonts w:ascii="Arial" w:hAnsi="Arial" w:cs="Arial"/>
          <w:snapToGrid w:val="0"/>
          <w:sz w:val="20"/>
        </w:rPr>
        <w:t>Le categorie principali di ricavi riguardano</w:t>
      </w:r>
      <w:r w:rsidRPr="006914EB">
        <w:rPr>
          <w:rFonts w:ascii="Arial" w:hAnsi="Arial" w:cs="Arial"/>
          <w:snapToGrid w:val="0"/>
          <w:sz w:val="20"/>
        </w:rPr>
        <w:t xml:space="preserve"> i corrispettivi da traffico derivanti dal riparto </w:t>
      </w:r>
      <w:r w:rsidR="0074098E" w:rsidRPr="006914EB">
        <w:rPr>
          <w:rFonts w:ascii="Arial" w:hAnsi="Arial" w:cs="Arial"/>
          <w:snapToGrid w:val="0"/>
          <w:sz w:val="20"/>
        </w:rPr>
        <w:t>della vendita</w:t>
      </w:r>
      <w:r w:rsidR="00A34C00" w:rsidRPr="006914EB">
        <w:rPr>
          <w:rFonts w:ascii="Arial" w:hAnsi="Arial" w:cs="Arial"/>
          <w:snapToGrid w:val="0"/>
          <w:sz w:val="20"/>
        </w:rPr>
        <w:t xml:space="preserve"> </w:t>
      </w:r>
      <w:r w:rsidRPr="006914EB">
        <w:rPr>
          <w:rFonts w:ascii="Arial" w:hAnsi="Arial" w:cs="Arial"/>
          <w:snapToGrid w:val="0"/>
          <w:sz w:val="20"/>
        </w:rPr>
        <w:t xml:space="preserve">dei </w:t>
      </w:r>
      <w:r w:rsidR="00A34C00" w:rsidRPr="006914EB">
        <w:rPr>
          <w:rFonts w:ascii="Arial" w:hAnsi="Arial" w:cs="Arial"/>
          <w:snapToGrid w:val="0"/>
          <w:sz w:val="20"/>
        </w:rPr>
        <w:t xml:space="preserve">biglietti </w:t>
      </w:r>
      <w:r w:rsidRPr="006914EB">
        <w:rPr>
          <w:rFonts w:ascii="Arial" w:hAnsi="Arial" w:cs="Arial"/>
          <w:snapToGrid w:val="0"/>
          <w:sz w:val="20"/>
        </w:rPr>
        <w:t xml:space="preserve">da parte </w:t>
      </w:r>
      <w:r w:rsidR="0074098E" w:rsidRPr="006914EB">
        <w:rPr>
          <w:rFonts w:ascii="Arial" w:hAnsi="Arial" w:cs="Arial"/>
          <w:snapToGrid w:val="0"/>
          <w:sz w:val="20"/>
        </w:rPr>
        <w:t>del Consorzio</w:t>
      </w:r>
      <w:r w:rsidR="00A34C00" w:rsidRPr="006914EB">
        <w:rPr>
          <w:rFonts w:ascii="Arial" w:hAnsi="Arial" w:cs="Arial"/>
          <w:snapToGrid w:val="0"/>
          <w:sz w:val="20"/>
        </w:rPr>
        <w:t xml:space="preserve"> </w:t>
      </w:r>
      <w:r w:rsidR="00693B59" w:rsidRPr="006914EB">
        <w:rPr>
          <w:rFonts w:ascii="Arial" w:hAnsi="Arial" w:cs="Arial"/>
          <w:snapToGrid w:val="0"/>
          <w:sz w:val="20"/>
        </w:rPr>
        <w:t>Unico</w:t>
      </w:r>
      <w:r w:rsidR="00693B59">
        <w:rPr>
          <w:rFonts w:ascii="Arial" w:hAnsi="Arial" w:cs="Arial"/>
          <w:snapToGrid w:val="0"/>
          <w:sz w:val="20"/>
        </w:rPr>
        <w:t xml:space="preserve"> </w:t>
      </w:r>
      <w:r w:rsidR="00693B59" w:rsidRPr="006914EB">
        <w:rPr>
          <w:rFonts w:ascii="Arial" w:hAnsi="Arial" w:cs="Arial"/>
          <w:snapToGrid w:val="0"/>
          <w:sz w:val="20"/>
        </w:rPr>
        <w:t>Campania</w:t>
      </w:r>
      <w:r w:rsidR="00A34C00" w:rsidRPr="006914EB">
        <w:rPr>
          <w:rFonts w:ascii="Arial" w:hAnsi="Arial" w:cs="Arial"/>
          <w:snapToGrid w:val="0"/>
          <w:sz w:val="20"/>
        </w:rPr>
        <w:t xml:space="preserve">, i </w:t>
      </w:r>
      <w:r w:rsidRPr="006914EB">
        <w:rPr>
          <w:rFonts w:ascii="Arial" w:hAnsi="Arial" w:cs="Arial"/>
          <w:snapToGrid w:val="0"/>
          <w:sz w:val="20"/>
        </w:rPr>
        <w:t>corrispettivi inerenti la gestione del contratto sosta</w:t>
      </w:r>
      <w:r w:rsidR="00A34C00" w:rsidRPr="006914EB">
        <w:rPr>
          <w:rFonts w:ascii="Arial" w:hAnsi="Arial" w:cs="Arial"/>
          <w:snapToGrid w:val="0"/>
          <w:sz w:val="20"/>
        </w:rPr>
        <w:t>, i ricavi derivanti dai contratti di servizio</w:t>
      </w:r>
      <w:r w:rsidRPr="006914EB">
        <w:rPr>
          <w:rFonts w:ascii="Arial" w:hAnsi="Arial" w:cs="Arial"/>
          <w:snapToGrid w:val="0"/>
          <w:sz w:val="20"/>
        </w:rPr>
        <w:t xml:space="preserve"> in essere e/o da stipulare con il</w:t>
      </w:r>
      <w:r w:rsidR="00A34C00" w:rsidRPr="006914EB">
        <w:rPr>
          <w:rFonts w:ascii="Arial" w:hAnsi="Arial" w:cs="Arial"/>
          <w:snapToGrid w:val="0"/>
          <w:sz w:val="20"/>
        </w:rPr>
        <w:t xml:space="preserve"> Comune</w:t>
      </w:r>
      <w:r w:rsidR="008F0468" w:rsidRPr="006914EB">
        <w:rPr>
          <w:rFonts w:ascii="Arial" w:hAnsi="Arial" w:cs="Arial"/>
          <w:snapToGrid w:val="0"/>
          <w:sz w:val="20"/>
        </w:rPr>
        <w:t xml:space="preserve"> di</w:t>
      </w:r>
      <w:r w:rsidRPr="006914EB">
        <w:rPr>
          <w:rFonts w:ascii="Arial" w:hAnsi="Arial" w:cs="Arial"/>
          <w:snapToGrid w:val="0"/>
          <w:sz w:val="20"/>
        </w:rPr>
        <w:t xml:space="preserve"> </w:t>
      </w:r>
      <w:r w:rsidR="0074098E" w:rsidRPr="006914EB">
        <w:rPr>
          <w:rFonts w:ascii="Arial" w:hAnsi="Arial" w:cs="Arial"/>
          <w:snapToGrid w:val="0"/>
          <w:sz w:val="20"/>
        </w:rPr>
        <w:t>Napoli e</w:t>
      </w:r>
      <w:r w:rsidR="00A34C00" w:rsidRPr="006914EB">
        <w:rPr>
          <w:rFonts w:ascii="Arial" w:hAnsi="Arial" w:cs="Arial"/>
          <w:snapToGrid w:val="0"/>
          <w:sz w:val="20"/>
        </w:rPr>
        <w:t xml:space="preserve"> la Provincia di Napoli e l'erogazione dei corrispettivi Regione Campania per i servizi minimi di TPL</w:t>
      </w:r>
      <w:r w:rsidRPr="006914EB">
        <w:rPr>
          <w:rFonts w:ascii="Arial" w:hAnsi="Arial" w:cs="Arial"/>
          <w:snapToGrid w:val="0"/>
          <w:sz w:val="20"/>
        </w:rPr>
        <w:t>.</w:t>
      </w:r>
    </w:p>
    <w:p w14:paraId="7D986162" w14:textId="385635AE" w:rsidR="0074098E" w:rsidRDefault="00912B07" w:rsidP="0074098E">
      <w:pPr>
        <w:pStyle w:val="Intestazione"/>
        <w:tabs>
          <w:tab w:val="clear" w:pos="4819"/>
          <w:tab w:val="clear" w:pos="9638"/>
        </w:tabs>
        <w:spacing w:before="120"/>
        <w:jc w:val="both"/>
        <w:rPr>
          <w:rFonts w:ascii="Arial" w:hAnsi="Arial" w:cs="Arial"/>
          <w:snapToGrid w:val="0"/>
          <w:szCs w:val="24"/>
        </w:rPr>
      </w:pPr>
      <w:r w:rsidRPr="006914EB">
        <w:rPr>
          <w:rFonts w:ascii="Arial" w:hAnsi="Arial" w:cs="Arial"/>
          <w:snapToGrid w:val="0"/>
          <w:szCs w:val="24"/>
        </w:rPr>
        <w:t>I ricavi da traffico</w:t>
      </w:r>
      <w:r w:rsidR="00F327AD" w:rsidRPr="006914EB">
        <w:rPr>
          <w:rFonts w:ascii="Arial" w:hAnsi="Arial" w:cs="Arial"/>
          <w:snapToGrid w:val="0"/>
          <w:szCs w:val="24"/>
        </w:rPr>
        <w:t xml:space="preserve"> rigua</w:t>
      </w:r>
      <w:r w:rsidR="00E30F22" w:rsidRPr="006914EB">
        <w:rPr>
          <w:rFonts w:ascii="Arial" w:hAnsi="Arial" w:cs="Arial"/>
          <w:snapToGrid w:val="0"/>
          <w:szCs w:val="24"/>
        </w:rPr>
        <w:t>rdano esclusivamente la nostra controllata</w:t>
      </w:r>
      <w:r w:rsidR="0074098E">
        <w:rPr>
          <w:rFonts w:ascii="Arial" w:hAnsi="Arial" w:cs="Arial"/>
          <w:snapToGrid w:val="0"/>
          <w:szCs w:val="24"/>
        </w:rPr>
        <w:t xml:space="preserve">, </w:t>
      </w:r>
      <w:r w:rsidRPr="006914EB">
        <w:rPr>
          <w:rFonts w:ascii="Arial" w:hAnsi="Arial" w:cs="Arial"/>
          <w:snapToGrid w:val="0"/>
          <w:szCs w:val="24"/>
        </w:rPr>
        <w:t xml:space="preserve">rappresentano i ricavi derivanti dalla gestione del trasporto su gomma e ferro in ambito urbano, suburbano ed extraurbano. </w:t>
      </w:r>
    </w:p>
    <w:p w14:paraId="59DCE4EF" w14:textId="77777777" w:rsidR="0074098E" w:rsidRPr="0074098E" w:rsidRDefault="0074098E" w:rsidP="0074098E">
      <w:pPr>
        <w:pStyle w:val="Intestazione"/>
        <w:spacing w:before="120"/>
        <w:jc w:val="both"/>
        <w:rPr>
          <w:rFonts w:ascii="Arial" w:hAnsi="Arial" w:cs="Arial"/>
          <w:snapToGrid w:val="0"/>
        </w:rPr>
      </w:pPr>
      <w:r w:rsidRPr="0074098E">
        <w:rPr>
          <w:rFonts w:ascii="Arial" w:hAnsi="Arial" w:cs="Arial"/>
          <w:snapToGrid w:val="0"/>
        </w:rPr>
        <w:t>In virtù delle Delibere di Giunta Regionale n. 128 del 30/04/2014 e n. 360 del 08/08/2014, dal 1° gennaio 2015 è stata attivata la Nuova struttura tariffaria che ha introdotto, in affiancamento alla nuova tariffa integrata “TIC” e in maniera obbligatoria, anche i titoli aziendali.</w:t>
      </w:r>
    </w:p>
    <w:p w14:paraId="0A479A3E" w14:textId="77777777" w:rsidR="0074098E" w:rsidRPr="0074098E" w:rsidRDefault="0074098E" w:rsidP="0074098E">
      <w:pPr>
        <w:pStyle w:val="Intestazione"/>
        <w:spacing w:before="120"/>
        <w:jc w:val="both"/>
        <w:rPr>
          <w:rFonts w:ascii="Arial" w:hAnsi="Arial" w:cs="Arial"/>
          <w:snapToGrid w:val="0"/>
        </w:rPr>
      </w:pPr>
      <w:r w:rsidRPr="0074098E">
        <w:rPr>
          <w:rFonts w:ascii="Arial" w:hAnsi="Arial" w:cs="Arial"/>
          <w:snapToGrid w:val="0"/>
        </w:rPr>
        <w:t>Con l’introduzione della tariffa integrata, le aziende consorziate hanno delegato al Consorzio la gestione della propria bigliettazione aziendale demandando, allo stesso, le operazioni di ideazione grafica, stampa e distribuzione dei titoli di viaggio aziendali, nonché di definizione degli standard tecnici per l’aggiornamento dei sistemi di bigliettazione automatica alla gestione dei titoli aziendali.</w:t>
      </w:r>
    </w:p>
    <w:p w14:paraId="77F4E1D6" w14:textId="2B25FAEA" w:rsidR="0074098E" w:rsidRPr="0074098E" w:rsidRDefault="0074098E" w:rsidP="0074098E">
      <w:pPr>
        <w:pStyle w:val="Intestazione"/>
        <w:spacing w:before="120"/>
        <w:jc w:val="both"/>
        <w:rPr>
          <w:rFonts w:ascii="Arial" w:hAnsi="Arial" w:cs="Arial"/>
          <w:snapToGrid w:val="0"/>
        </w:rPr>
      </w:pPr>
      <w:r w:rsidRPr="0074098E">
        <w:rPr>
          <w:rFonts w:ascii="Arial" w:hAnsi="Arial" w:cs="Arial"/>
          <w:snapToGrid w:val="0"/>
        </w:rPr>
        <w:t>I ricavi d</w:t>
      </w:r>
      <w:r w:rsidR="00725464">
        <w:rPr>
          <w:rFonts w:ascii="Arial" w:hAnsi="Arial" w:cs="Arial"/>
          <w:snapToGrid w:val="0"/>
        </w:rPr>
        <w:t>a</w:t>
      </w:r>
      <w:r w:rsidRPr="0074098E">
        <w:rPr>
          <w:rFonts w:ascii="Arial" w:hAnsi="Arial" w:cs="Arial"/>
          <w:snapToGrid w:val="0"/>
        </w:rPr>
        <w:t xml:space="preserve"> traffico rimangono sostanzialmente sul livello registrato nel biennio 2017-2018</w:t>
      </w:r>
      <w:r>
        <w:rPr>
          <w:rFonts w:ascii="Arial" w:hAnsi="Arial" w:cs="Arial"/>
          <w:snapToGrid w:val="0"/>
        </w:rPr>
        <w:t>.</w:t>
      </w:r>
    </w:p>
    <w:p w14:paraId="6A219525" w14:textId="77777777" w:rsidR="0074098E" w:rsidRPr="0074098E" w:rsidRDefault="0074098E" w:rsidP="0074098E">
      <w:pPr>
        <w:pStyle w:val="Intestazione"/>
        <w:spacing w:before="120"/>
        <w:jc w:val="both"/>
        <w:rPr>
          <w:rFonts w:ascii="Arial" w:hAnsi="Arial" w:cs="Arial"/>
          <w:b/>
          <w:bCs/>
          <w:snapToGrid w:val="0"/>
        </w:rPr>
      </w:pPr>
      <w:r w:rsidRPr="0074098E">
        <w:rPr>
          <w:rFonts w:ascii="Arial" w:hAnsi="Arial" w:cs="Arial"/>
          <w:b/>
          <w:bCs/>
          <w:snapToGrid w:val="0"/>
        </w:rPr>
        <w:t>Relativamente ai corrispettivi:</w:t>
      </w:r>
    </w:p>
    <w:p w14:paraId="2563A7DA" w14:textId="75331769" w:rsidR="0074098E" w:rsidRPr="0074098E" w:rsidRDefault="0074098E" w:rsidP="0074098E">
      <w:pPr>
        <w:pStyle w:val="Intestazione"/>
        <w:spacing w:before="120"/>
        <w:jc w:val="both"/>
        <w:rPr>
          <w:rFonts w:ascii="Arial" w:hAnsi="Arial" w:cs="Arial"/>
          <w:snapToGrid w:val="0"/>
        </w:rPr>
      </w:pPr>
      <w:r w:rsidRPr="0074098E">
        <w:rPr>
          <w:rFonts w:ascii="Arial" w:hAnsi="Arial" w:cs="Arial"/>
          <w:b/>
          <w:bCs/>
          <w:snapToGrid w:val="0"/>
        </w:rPr>
        <w:t xml:space="preserve">Contratto di servizio </w:t>
      </w:r>
      <w:r w:rsidR="00725464">
        <w:rPr>
          <w:rFonts w:ascii="Arial" w:hAnsi="Arial" w:cs="Arial"/>
          <w:b/>
          <w:bCs/>
          <w:snapToGrid w:val="0"/>
        </w:rPr>
        <w:t>TPL a carico del</w:t>
      </w:r>
      <w:r w:rsidRPr="0074098E">
        <w:rPr>
          <w:rFonts w:ascii="Arial" w:hAnsi="Arial" w:cs="Arial"/>
          <w:b/>
          <w:bCs/>
          <w:snapToGrid w:val="0"/>
        </w:rPr>
        <w:t xml:space="preserve"> Comune di Napo</w:t>
      </w:r>
      <w:r w:rsidR="00725464">
        <w:rPr>
          <w:rFonts w:ascii="Arial" w:hAnsi="Arial" w:cs="Arial"/>
          <w:b/>
          <w:bCs/>
          <w:snapToGrid w:val="0"/>
        </w:rPr>
        <w:t>li</w:t>
      </w:r>
      <w:r w:rsidRPr="0074098E">
        <w:rPr>
          <w:rFonts w:ascii="Arial" w:hAnsi="Arial" w:cs="Arial"/>
          <w:b/>
          <w:bCs/>
          <w:snapToGrid w:val="0"/>
        </w:rPr>
        <w:t>:</w:t>
      </w:r>
      <w:r w:rsidRPr="0074098E">
        <w:rPr>
          <w:rFonts w:ascii="Arial" w:hAnsi="Arial" w:cs="Arial"/>
          <w:b/>
          <w:snapToGrid w:val="0"/>
        </w:rPr>
        <w:t xml:space="preserve"> </w:t>
      </w:r>
      <w:r w:rsidRPr="0074098E">
        <w:rPr>
          <w:rFonts w:ascii="Arial" w:hAnsi="Arial" w:cs="Arial"/>
          <w:snapToGrid w:val="0"/>
        </w:rPr>
        <w:t>trattasi dei corrispettivi previsti per il 2019 con cui il Comune di Napoli si è impegnato a favore della Napoli Holding e quindi di ANM per la gestione del trasporto pubblico locale.</w:t>
      </w:r>
    </w:p>
    <w:p w14:paraId="7B2B1E46" w14:textId="77777777" w:rsidR="0074098E" w:rsidRPr="0074098E" w:rsidRDefault="0074098E" w:rsidP="0074098E">
      <w:pPr>
        <w:pStyle w:val="Intestazione"/>
        <w:spacing w:before="120"/>
        <w:jc w:val="both"/>
        <w:rPr>
          <w:rFonts w:ascii="Arial" w:hAnsi="Arial" w:cs="Arial"/>
          <w:snapToGrid w:val="0"/>
        </w:rPr>
      </w:pPr>
      <w:r w:rsidRPr="0074098E">
        <w:rPr>
          <w:rFonts w:ascii="Arial" w:hAnsi="Arial" w:cs="Arial"/>
          <w:b/>
          <w:bCs/>
          <w:snapToGrid w:val="0"/>
        </w:rPr>
        <w:t>Contratto ponte Città metropolitana di Napoli:</w:t>
      </w:r>
      <w:r w:rsidRPr="0074098E">
        <w:rPr>
          <w:rFonts w:ascii="Arial" w:hAnsi="Arial" w:cs="Arial"/>
          <w:snapToGrid w:val="0"/>
        </w:rPr>
        <w:t xml:space="preserve"> l’importo rappresenta il corrispettivo del contratto di servizio ponte, relativo al servizio extraurbano.</w:t>
      </w:r>
    </w:p>
    <w:p w14:paraId="40355998" w14:textId="77777777" w:rsidR="0074098E" w:rsidRPr="0074098E" w:rsidRDefault="0074098E" w:rsidP="0074098E">
      <w:pPr>
        <w:pStyle w:val="Intestazione"/>
        <w:spacing w:before="120"/>
        <w:jc w:val="both"/>
        <w:rPr>
          <w:rFonts w:ascii="Arial" w:hAnsi="Arial" w:cs="Arial"/>
          <w:b/>
          <w:i/>
          <w:snapToGrid w:val="0"/>
        </w:rPr>
      </w:pPr>
      <w:r w:rsidRPr="0074098E">
        <w:rPr>
          <w:rFonts w:ascii="Arial" w:hAnsi="Arial" w:cs="Arial"/>
          <w:b/>
          <w:bCs/>
          <w:snapToGrid w:val="0"/>
        </w:rPr>
        <w:t xml:space="preserve">Trasferimenti regionali: </w:t>
      </w:r>
      <w:r w:rsidRPr="0074098E">
        <w:rPr>
          <w:rFonts w:ascii="Arial" w:hAnsi="Arial" w:cs="Arial"/>
          <w:snapToGrid w:val="0"/>
        </w:rPr>
        <w:t xml:space="preserve">trattasi dei trasferimenti regionali per i servizi minimi di competenza del Comune di Napoli e di cui alla DGR 106/2016. Dal 2015 gli stessi sono riversati alla Napoli Holding S.r.l. e poi trasferiti ad ANM S.p.A. L’importo iscritto in bilancio di 53.167 </w:t>
      </w:r>
      <w:r w:rsidRPr="0074098E">
        <w:rPr>
          <w:rFonts w:ascii="Arial" w:hAnsi="Arial" w:cs="Arial"/>
          <w:bCs/>
          <w:iCs/>
          <w:snapToGrid w:val="0"/>
        </w:rPr>
        <w:t>€/000 è quello previsto per l’esercizio 2019.</w:t>
      </w:r>
    </w:p>
    <w:p w14:paraId="59BAE0ED" w14:textId="77777777" w:rsidR="0074098E" w:rsidRPr="0074098E" w:rsidRDefault="0074098E" w:rsidP="0074098E">
      <w:pPr>
        <w:pStyle w:val="Intestazione"/>
        <w:spacing w:before="120"/>
        <w:jc w:val="both"/>
        <w:rPr>
          <w:rFonts w:ascii="Arial" w:hAnsi="Arial" w:cs="Arial"/>
          <w:snapToGrid w:val="0"/>
        </w:rPr>
      </w:pPr>
      <w:r w:rsidRPr="0074098E">
        <w:rPr>
          <w:rFonts w:ascii="Arial" w:hAnsi="Arial" w:cs="Arial"/>
          <w:b/>
          <w:snapToGrid w:val="0"/>
        </w:rPr>
        <w:t xml:space="preserve">Ricavi gestione sosta: </w:t>
      </w:r>
      <w:r w:rsidRPr="0074098E">
        <w:rPr>
          <w:rFonts w:ascii="Arial" w:hAnsi="Arial" w:cs="Arial"/>
          <w:snapToGrid w:val="0"/>
        </w:rPr>
        <w:t>trattasi dei ricavi accertati e riconosciuti per la gestione attività della sosta e più precisamente:</w:t>
      </w:r>
      <w:r w:rsidRPr="0074098E">
        <w:rPr>
          <w:rFonts w:ascii="Arial" w:hAnsi="Arial" w:cs="Arial"/>
          <w:b/>
          <w:snapToGrid w:val="0"/>
        </w:rPr>
        <w:t xml:space="preserve"> </w:t>
      </w:r>
      <w:r w:rsidRPr="0074098E">
        <w:rPr>
          <w:rFonts w:ascii="Arial" w:hAnsi="Arial" w:cs="Arial"/>
          <w:snapToGrid w:val="0"/>
        </w:rPr>
        <w:t>737</w:t>
      </w:r>
      <w:r w:rsidRPr="0074098E">
        <w:rPr>
          <w:rFonts w:ascii="Arial" w:hAnsi="Arial" w:cs="Arial"/>
          <w:b/>
          <w:snapToGrid w:val="0"/>
        </w:rPr>
        <w:t xml:space="preserve"> </w:t>
      </w:r>
      <w:r w:rsidRPr="0074098E">
        <w:rPr>
          <w:rFonts w:ascii="Arial" w:hAnsi="Arial" w:cs="Arial"/>
          <w:snapToGrid w:val="0"/>
        </w:rPr>
        <w:t>€/000 per la gestione semaforica e 681 €/000 per la gestione della segnaletica stradale. Nessuna copertura è stata garantita dal Comune per la gestione dell’accertamento multe e attività di videosorveglianza.</w:t>
      </w:r>
    </w:p>
    <w:p w14:paraId="7153D397" w14:textId="77777777" w:rsidR="00EE4AF0" w:rsidRPr="004C6107" w:rsidRDefault="00EE4AF0" w:rsidP="002D4D1D">
      <w:pPr>
        <w:widowControl w:val="0"/>
        <w:tabs>
          <w:tab w:val="left" w:pos="204"/>
        </w:tabs>
        <w:spacing w:before="120" w:after="120"/>
        <w:jc w:val="both"/>
        <w:rPr>
          <w:rFonts w:ascii="Arial" w:hAnsi="Arial" w:cs="Arial"/>
          <w:b/>
          <w:snapToGrid w:val="0"/>
          <w:sz w:val="20"/>
        </w:rPr>
      </w:pPr>
      <w:r w:rsidRPr="004C6107">
        <w:rPr>
          <w:rFonts w:ascii="Arial" w:hAnsi="Arial" w:cs="Arial"/>
          <w:b/>
          <w:snapToGrid w:val="0"/>
          <w:sz w:val="20"/>
        </w:rPr>
        <w:t>Altri ricavi e proventi</w:t>
      </w:r>
    </w:p>
    <w:p w14:paraId="37E92C7C" w14:textId="77777777" w:rsidR="001D725E" w:rsidRDefault="00EE4AF0" w:rsidP="002D4D1D">
      <w:pPr>
        <w:widowControl w:val="0"/>
        <w:tabs>
          <w:tab w:val="left" w:pos="204"/>
        </w:tabs>
        <w:spacing w:before="120" w:after="120"/>
        <w:jc w:val="both"/>
        <w:rPr>
          <w:rFonts w:ascii="Arial" w:hAnsi="Arial" w:cs="Arial"/>
          <w:snapToGrid w:val="0"/>
          <w:sz w:val="20"/>
        </w:rPr>
      </w:pPr>
      <w:r w:rsidRPr="004C6107">
        <w:rPr>
          <w:rFonts w:ascii="Arial" w:hAnsi="Arial" w:cs="Arial"/>
          <w:snapToGrid w:val="0"/>
          <w:sz w:val="20"/>
        </w:rPr>
        <w:t>La voce è così composta:</w:t>
      </w:r>
    </w:p>
    <w:p w14:paraId="075C68CB" w14:textId="7DE860AD" w:rsidR="00397696" w:rsidRDefault="00CE6109" w:rsidP="002D4D1D">
      <w:pPr>
        <w:widowControl w:val="0"/>
        <w:tabs>
          <w:tab w:val="left" w:pos="204"/>
        </w:tabs>
        <w:spacing w:before="120" w:after="120"/>
        <w:jc w:val="both"/>
        <w:rPr>
          <w:rFonts w:ascii="Arial" w:hAnsi="Arial" w:cs="Arial"/>
          <w:snapToGrid w:val="0"/>
          <w:sz w:val="20"/>
        </w:rPr>
      </w:pPr>
      <w:r>
        <w:rPr>
          <w:noProof/>
        </w:rPr>
        <w:lastRenderedPageBreak/>
        <w:drawing>
          <wp:inline distT="0" distB="0" distL="0" distR="0" wp14:anchorId="06F8CBEB" wp14:editId="547A9664">
            <wp:extent cx="5400675" cy="4352925"/>
            <wp:effectExtent l="0" t="0" r="9525"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4352925"/>
                    </a:xfrm>
                    <a:prstGeom prst="rect">
                      <a:avLst/>
                    </a:prstGeom>
                    <a:noFill/>
                    <a:ln>
                      <a:noFill/>
                    </a:ln>
                  </pic:spPr>
                </pic:pic>
              </a:graphicData>
            </a:graphic>
          </wp:inline>
        </w:drawing>
      </w:r>
    </w:p>
    <w:p w14:paraId="7F2CDBC1" w14:textId="77777777" w:rsidR="00397696" w:rsidRPr="00ED41BE" w:rsidRDefault="009267C8" w:rsidP="001E5A87">
      <w:pPr>
        <w:widowControl w:val="0"/>
        <w:tabs>
          <w:tab w:val="left" w:pos="204"/>
        </w:tabs>
        <w:spacing w:before="120" w:after="120"/>
        <w:jc w:val="both"/>
        <w:rPr>
          <w:rFonts w:ascii="Arial" w:hAnsi="Arial" w:cs="Arial"/>
          <w:snapToGrid w:val="0"/>
          <w:sz w:val="20"/>
        </w:rPr>
      </w:pPr>
      <w:r w:rsidRPr="00ED41BE">
        <w:rPr>
          <w:rFonts w:ascii="Arial" w:hAnsi="Arial" w:cs="Arial"/>
          <w:snapToGrid w:val="0"/>
          <w:sz w:val="20"/>
        </w:rPr>
        <w:t>Il contributo per sconto consumo carburante</w:t>
      </w:r>
      <w:r w:rsidR="00E30F22" w:rsidRPr="00ED41BE">
        <w:rPr>
          <w:rFonts w:ascii="Arial" w:hAnsi="Arial" w:cs="Arial"/>
          <w:snapToGrid w:val="0"/>
          <w:sz w:val="20"/>
        </w:rPr>
        <w:t>, riferito alla nostra controllata,</w:t>
      </w:r>
      <w:r w:rsidRPr="00ED41BE">
        <w:rPr>
          <w:rFonts w:ascii="Arial" w:hAnsi="Arial" w:cs="Arial"/>
          <w:snapToGrid w:val="0"/>
          <w:sz w:val="20"/>
        </w:rPr>
        <w:t xml:space="preserve"> è relativo alla </w:t>
      </w:r>
      <w:r w:rsidR="00397696" w:rsidRPr="00ED41BE">
        <w:rPr>
          <w:rFonts w:ascii="Arial" w:hAnsi="Arial" w:cs="Arial"/>
          <w:snapToGrid w:val="0"/>
          <w:sz w:val="20"/>
        </w:rPr>
        <w:t xml:space="preserve">riduzione dell’aliquota di accisa sul gasolio disposta a favore delle aziende del settore del trasporto pubblico con DL 23 settembre 2000 n° 265, e successive modifiche ed integrazioni, per il periodo gennaio-dicembre 2019. </w:t>
      </w:r>
    </w:p>
    <w:p w14:paraId="76F77B2A" w14:textId="77777777" w:rsidR="009267C8" w:rsidRPr="00ED41BE" w:rsidRDefault="005550FA" w:rsidP="002D4D1D">
      <w:pPr>
        <w:widowControl w:val="0"/>
        <w:tabs>
          <w:tab w:val="left" w:pos="204"/>
        </w:tabs>
        <w:spacing w:before="120" w:after="120"/>
        <w:jc w:val="both"/>
        <w:rPr>
          <w:rFonts w:ascii="Arial" w:hAnsi="Arial" w:cs="Arial"/>
          <w:snapToGrid w:val="0"/>
          <w:sz w:val="20"/>
          <w:highlight w:val="yellow"/>
        </w:rPr>
      </w:pPr>
      <w:r w:rsidRPr="00ED41BE">
        <w:rPr>
          <w:rFonts w:ascii="Arial" w:hAnsi="Arial" w:cs="Arial"/>
          <w:snapToGrid w:val="0"/>
          <w:sz w:val="20"/>
        </w:rPr>
        <w:t>I c</w:t>
      </w:r>
      <w:r w:rsidR="009267C8" w:rsidRPr="00ED41BE">
        <w:rPr>
          <w:rFonts w:ascii="Arial" w:hAnsi="Arial" w:cs="Arial"/>
          <w:snapToGrid w:val="0"/>
          <w:sz w:val="20"/>
        </w:rPr>
        <w:t>ontribut</w:t>
      </w:r>
      <w:r w:rsidRPr="00ED41BE">
        <w:rPr>
          <w:rFonts w:ascii="Arial" w:hAnsi="Arial" w:cs="Arial"/>
          <w:snapToGrid w:val="0"/>
          <w:sz w:val="20"/>
        </w:rPr>
        <w:t>i in conto impianti si riferiscono a</w:t>
      </w:r>
      <w:r w:rsidR="009267C8" w:rsidRPr="00ED41BE">
        <w:rPr>
          <w:rFonts w:ascii="Arial" w:hAnsi="Arial" w:cs="Arial"/>
          <w:snapToGrid w:val="0"/>
          <w:sz w:val="20"/>
        </w:rPr>
        <w:t xml:space="preserve">lla quota di </w:t>
      </w:r>
      <w:r w:rsidR="00397696" w:rsidRPr="00ED41BE">
        <w:rPr>
          <w:rFonts w:ascii="Arial" w:hAnsi="Arial" w:cs="Arial"/>
          <w:snapToGrid w:val="0"/>
          <w:sz w:val="20"/>
        </w:rPr>
        <w:t>contributi in conto capitale destinata all'acquisto di cespiti ammortizzabili liquidati negli esercizi precedenti e rinviati, per la quota non di competenza, agli esercizi futuri mediante l'iscrizione di risconti passivi. I contributi in oggetto sono stati attribuiti per competenza all’esercizio in chiusura e alla voce in esame applicando la medesima percentuale di ammortamento dei cespiti relativi, o riscontati in pieno qualora destinati a lavori in corso non ancora conclusi e quindi patrimonializzabili</w:t>
      </w:r>
      <w:r w:rsidR="009267C8" w:rsidRPr="00ED41BE">
        <w:rPr>
          <w:rFonts w:ascii="Arial" w:hAnsi="Arial" w:cs="Arial"/>
          <w:snapToGrid w:val="0"/>
          <w:sz w:val="20"/>
        </w:rPr>
        <w:t>.</w:t>
      </w:r>
    </w:p>
    <w:p w14:paraId="0F3CE46F" w14:textId="77777777" w:rsidR="00E30F22" w:rsidRDefault="00E30F22" w:rsidP="002D4D1D">
      <w:pPr>
        <w:widowControl w:val="0"/>
        <w:tabs>
          <w:tab w:val="left" w:pos="204"/>
        </w:tabs>
        <w:spacing w:before="120" w:after="120"/>
        <w:jc w:val="both"/>
        <w:rPr>
          <w:rFonts w:ascii="Arial" w:hAnsi="Arial" w:cs="Arial"/>
          <w:snapToGrid w:val="0"/>
          <w:sz w:val="20"/>
        </w:rPr>
      </w:pPr>
      <w:r w:rsidRPr="002245E7">
        <w:rPr>
          <w:rFonts w:ascii="Arial" w:hAnsi="Arial" w:cs="Arial"/>
          <w:snapToGrid w:val="0"/>
          <w:sz w:val="20"/>
        </w:rPr>
        <w:t xml:space="preserve">Nella voce ricavi e proventi diversi, gli importi più consistenti </w:t>
      </w:r>
      <w:r w:rsidR="00397696" w:rsidRPr="002245E7">
        <w:rPr>
          <w:rFonts w:ascii="Arial" w:hAnsi="Arial" w:cs="Arial"/>
          <w:snapToGrid w:val="0"/>
          <w:sz w:val="20"/>
        </w:rPr>
        <w:t>sono rappresentati</w:t>
      </w:r>
      <w:r w:rsidRPr="002245E7">
        <w:rPr>
          <w:rFonts w:ascii="Arial" w:hAnsi="Arial" w:cs="Arial"/>
          <w:snapToGrid w:val="0"/>
          <w:sz w:val="20"/>
        </w:rPr>
        <w:t xml:space="preserve"> da:</w:t>
      </w:r>
    </w:p>
    <w:p w14:paraId="2E1438A3" w14:textId="77777777" w:rsidR="0018621A" w:rsidRDefault="00397696" w:rsidP="004D44D2">
      <w:pPr>
        <w:widowControl w:val="0"/>
        <w:numPr>
          <w:ilvl w:val="1"/>
          <w:numId w:val="41"/>
        </w:numPr>
        <w:spacing w:before="120" w:after="120"/>
        <w:jc w:val="both"/>
        <w:rPr>
          <w:rFonts w:ascii="Arial" w:hAnsi="Arial" w:cs="Arial"/>
          <w:snapToGrid w:val="0"/>
          <w:sz w:val="20"/>
        </w:rPr>
      </w:pPr>
      <w:r w:rsidRPr="00397696">
        <w:rPr>
          <w:rFonts w:ascii="Arial" w:hAnsi="Arial" w:cs="Arial"/>
          <w:b/>
          <w:snapToGrid w:val="0"/>
          <w:sz w:val="20"/>
        </w:rPr>
        <w:t>Locazione degli spazi pubblicitari</w:t>
      </w:r>
      <w:r w:rsidR="0018621A" w:rsidRPr="0018621A">
        <w:rPr>
          <w:rFonts w:ascii="Arial" w:hAnsi="Arial" w:cs="Arial"/>
          <w:b/>
          <w:snapToGrid w:val="0"/>
          <w:sz w:val="20"/>
        </w:rPr>
        <w:t>:</w:t>
      </w:r>
      <w:r w:rsidRPr="00397696">
        <w:rPr>
          <w:rFonts w:ascii="Arial" w:hAnsi="Arial" w:cs="Arial"/>
          <w:snapToGrid w:val="0"/>
          <w:sz w:val="20"/>
        </w:rPr>
        <w:t xml:space="preserve"> si riferisce a quanto addebitato alla IGP DECAUX S.p.A. in ottemperanza ai due contratti con la stessa stipulati</w:t>
      </w:r>
      <w:r w:rsidR="0018621A" w:rsidRPr="0018621A">
        <w:rPr>
          <w:rFonts w:ascii="Arial" w:hAnsi="Arial" w:cs="Arial"/>
          <w:snapToGrid w:val="0"/>
          <w:sz w:val="20"/>
        </w:rPr>
        <w:t xml:space="preserve"> dalla controllata ANM</w:t>
      </w:r>
      <w:r w:rsidRPr="00397696">
        <w:rPr>
          <w:rFonts w:ascii="Arial" w:hAnsi="Arial" w:cs="Arial"/>
          <w:snapToGrid w:val="0"/>
          <w:sz w:val="20"/>
        </w:rPr>
        <w:t>: l’uno avente per oggetto la fornitura, installazione e gestione di complementi di arredo urbano di utilità per il trasporto pubblico, a fronte dello sfruttamento degli spazi pubblicitari su paline e pensiline della rete e l’altro la locazione degli spazi pubblicitari sui rotabili;</w:t>
      </w:r>
    </w:p>
    <w:p w14:paraId="58CD9589" w14:textId="77777777" w:rsidR="00397696" w:rsidRPr="00397696" w:rsidRDefault="00397696" w:rsidP="004D44D2">
      <w:pPr>
        <w:widowControl w:val="0"/>
        <w:numPr>
          <w:ilvl w:val="1"/>
          <w:numId w:val="41"/>
        </w:numPr>
        <w:spacing w:before="120" w:after="120"/>
        <w:jc w:val="both"/>
        <w:rPr>
          <w:rFonts w:ascii="Arial" w:hAnsi="Arial" w:cs="Arial"/>
          <w:snapToGrid w:val="0"/>
          <w:sz w:val="20"/>
        </w:rPr>
      </w:pPr>
      <w:r w:rsidRPr="00397696">
        <w:rPr>
          <w:rFonts w:ascii="Arial" w:hAnsi="Arial" w:cs="Arial"/>
          <w:b/>
          <w:snapToGrid w:val="0"/>
          <w:sz w:val="20"/>
        </w:rPr>
        <w:t>Ricavi per penalità viaggiatori</w:t>
      </w:r>
      <w:r w:rsidRPr="00397696">
        <w:rPr>
          <w:rFonts w:ascii="Arial" w:hAnsi="Arial" w:cs="Arial"/>
          <w:snapToGrid w:val="0"/>
          <w:sz w:val="20"/>
        </w:rPr>
        <w:t>: rappresentano i ricavi derivanti dall’addebito di penalità ai viaggiatori sprovvisti di titolo di viaggio; penalità disciplinate dalla legge Regionale 13/1998;</w:t>
      </w:r>
    </w:p>
    <w:p w14:paraId="61EE9E2E" w14:textId="77777777" w:rsidR="00397696" w:rsidRPr="00397696" w:rsidRDefault="00397696" w:rsidP="00397696">
      <w:pPr>
        <w:widowControl w:val="0"/>
        <w:numPr>
          <w:ilvl w:val="1"/>
          <w:numId w:val="41"/>
        </w:numPr>
        <w:tabs>
          <w:tab w:val="left" w:pos="204"/>
        </w:tabs>
        <w:spacing w:before="120" w:after="120"/>
        <w:jc w:val="both"/>
        <w:rPr>
          <w:rFonts w:ascii="Arial" w:hAnsi="Arial" w:cs="Arial"/>
          <w:b/>
          <w:snapToGrid w:val="0"/>
          <w:sz w:val="20"/>
        </w:rPr>
      </w:pPr>
      <w:r w:rsidRPr="00397696">
        <w:rPr>
          <w:rFonts w:ascii="Arial" w:hAnsi="Arial" w:cs="Arial"/>
          <w:b/>
          <w:snapToGrid w:val="0"/>
          <w:sz w:val="20"/>
        </w:rPr>
        <w:t xml:space="preserve">Rimborso personale distaccato presso enti terzi </w:t>
      </w:r>
    </w:p>
    <w:p w14:paraId="1A373CC1" w14:textId="77777777" w:rsidR="00397696" w:rsidRPr="00397696" w:rsidRDefault="00397696" w:rsidP="00397696">
      <w:pPr>
        <w:widowControl w:val="0"/>
        <w:numPr>
          <w:ilvl w:val="1"/>
          <w:numId w:val="41"/>
        </w:numPr>
        <w:tabs>
          <w:tab w:val="left" w:pos="204"/>
        </w:tabs>
        <w:spacing w:before="120" w:after="120"/>
        <w:jc w:val="both"/>
        <w:rPr>
          <w:rFonts w:ascii="Arial" w:hAnsi="Arial" w:cs="Arial"/>
          <w:snapToGrid w:val="0"/>
          <w:sz w:val="20"/>
        </w:rPr>
      </w:pPr>
      <w:r w:rsidRPr="00397696">
        <w:rPr>
          <w:rFonts w:ascii="Arial" w:hAnsi="Arial" w:cs="Arial"/>
          <w:b/>
          <w:snapToGrid w:val="0"/>
          <w:sz w:val="20"/>
        </w:rPr>
        <w:t xml:space="preserve">Altri ricavi: </w:t>
      </w:r>
      <w:r w:rsidRPr="00397696">
        <w:rPr>
          <w:rFonts w:ascii="Arial" w:hAnsi="Arial" w:cs="Arial"/>
          <w:snapToGrid w:val="0"/>
          <w:sz w:val="20"/>
        </w:rPr>
        <w:t xml:space="preserve">trattasi per lo più di ricavi da fitti per locazione di locali sulle stazioni metropolitane </w:t>
      </w:r>
      <w:r w:rsidR="0018621A">
        <w:rPr>
          <w:rFonts w:ascii="Arial" w:hAnsi="Arial" w:cs="Arial"/>
          <w:snapToGrid w:val="0"/>
          <w:sz w:val="20"/>
        </w:rPr>
        <w:t>della ANM e della locazione dell’immobile di Via Ponte dei Francesi della Napoli Holding</w:t>
      </w:r>
      <w:r w:rsidRPr="00397696">
        <w:rPr>
          <w:rFonts w:ascii="Arial" w:hAnsi="Arial" w:cs="Arial"/>
          <w:snapToGrid w:val="0"/>
          <w:sz w:val="20"/>
        </w:rPr>
        <w:t>;</w:t>
      </w:r>
    </w:p>
    <w:p w14:paraId="54227D1F" w14:textId="77777777" w:rsidR="0048650D" w:rsidRDefault="00397696" w:rsidP="0048650D">
      <w:pPr>
        <w:widowControl w:val="0"/>
        <w:numPr>
          <w:ilvl w:val="1"/>
          <w:numId w:val="41"/>
        </w:numPr>
        <w:tabs>
          <w:tab w:val="left" w:pos="204"/>
        </w:tabs>
        <w:spacing w:before="120" w:after="120"/>
        <w:jc w:val="both"/>
        <w:rPr>
          <w:rFonts w:ascii="Arial" w:hAnsi="Arial" w:cs="Arial"/>
          <w:snapToGrid w:val="0"/>
          <w:sz w:val="20"/>
        </w:rPr>
      </w:pPr>
      <w:r w:rsidRPr="00397696">
        <w:rPr>
          <w:rFonts w:ascii="Arial" w:hAnsi="Arial" w:cs="Arial"/>
          <w:b/>
          <w:snapToGrid w:val="0"/>
          <w:sz w:val="20"/>
        </w:rPr>
        <w:lastRenderedPageBreak/>
        <w:t xml:space="preserve">Riaddebito spese di </w:t>
      </w:r>
      <w:r w:rsidR="0018621A" w:rsidRPr="00397696">
        <w:rPr>
          <w:rFonts w:ascii="Arial" w:hAnsi="Arial" w:cs="Arial"/>
          <w:b/>
          <w:snapToGrid w:val="0"/>
          <w:sz w:val="20"/>
        </w:rPr>
        <w:t>manutenzione:</w:t>
      </w:r>
      <w:r w:rsidR="0018621A" w:rsidRPr="00397696">
        <w:rPr>
          <w:rFonts w:ascii="Arial" w:hAnsi="Arial" w:cs="Arial"/>
          <w:i/>
          <w:snapToGrid w:val="0"/>
          <w:sz w:val="20"/>
        </w:rPr>
        <w:t xml:space="preserve"> </w:t>
      </w:r>
      <w:r w:rsidR="0018621A" w:rsidRPr="00397696">
        <w:rPr>
          <w:rFonts w:ascii="Arial" w:hAnsi="Arial" w:cs="Arial"/>
          <w:snapToGrid w:val="0"/>
          <w:sz w:val="20"/>
        </w:rPr>
        <w:t>trattasi</w:t>
      </w:r>
      <w:r w:rsidRPr="00397696">
        <w:rPr>
          <w:rFonts w:ascii="Arial" w:hAnsi="Arial" w:cs="Arial"/>
          <w:snapToGrid w:val="0"/>
          <w:sz w:val="20"/>
        </w:rPr>
        <w:t xml:space="preserve"> del riaddebito all’ente locale dei costi sostenuti per la manutenzione straordinaria funicolare e linea 1 Metropolitana, ai sensi delle delibere 475/2011, 551/2014, 660/2016 e 683/17 (cfr voce </w:t>
      </w:r>
      <w:r w:rsidRPr="00397696">
        <w:rPr>
          <w:rFonts w:ascii="Arial" w:hAnsi="Arial" w:cs="Arial"/>
          <w:i/>
          <w:snapToGrid w:val="0"/>
          <w:sz w:val="20"/>
        </w:rPr>
        <w:t>“crediti verso controllanti</w:t>
      </w:r>
      <w:r w:rsidRPr="00397696">
        <w:rPr>
          <w:rFonts w:ascii="Arial" w:hAnsi="Arial" w:cs="Arial"/>
          <w:snapToGrid w:val="0"/>
          <w:sz w:val="20"/>
        </w:rPr>
        <w:t>).</w:t>
      </w:r>
    </w:p>
    <w:p w14:paraId="4A26F344" w14:textId="77777777" w:rsidR="00E30F22" w:rsidRPr="0048650D" w:rsidRDefault="00E30F22" w:rsidP="0048650D">
      <w:pPr>
        <w:widowControl w:val="0"/>
        <w:spacing w:before="120" w:after="120"/>
        <w:jc w:val="both"/>
        <w:rPr>
          <w:rFonts w:ascii="Arial" w:hAnsi="Arial" w:cs="Arial"/>
          <w:snapToGrid w:val="0"/>
          <w:sz w:val="20"/>
        </w:rPr>
      </w:pPr>
      <w:r w:rsidRPr="0048650D">
        <w:rPr>
          <w:rFonts w:ascii="Arial" w:hAnsi="Arial" w:cs="Arial"/>
          <w:snapToGrid w:val="0"/>
          <w:sz w:val="20"/>
        </w:rPr>
        <w:t>La voce Sopravvenienze ed insussistenze derivanti da revisioni di stima</w:t>
      </w:r>
      <w:r w:rsidR="0018621A" w:rsidRPr="0048650D">
        <w:rPr>
          <w:rFonts w:ascii="Arial" w:hAnsi="Arial" w:cs="Arial"/>
          <w:snapToGrid w:val="0"/>
          <w:sz w:val="20"/>
        </w:rPr>
        <w:t xml:space="preserve">; </w:t>
      </w:r>
      <w:r w:rsidRPr="0048650D">
        <w:rPr>
          <w:rFonts w:ascii="Arial" w:hAnsi="Arial" w:cs="Arial"/>
          <w:snapToGrid w:val="0"/>
          <w:sz w:val="20"/>
        </w:rPr>
        <w:t>tra i maggiori importi rileva:</w:t>
      </w:r>
    </w:p>
    <w:p w14:paraId="534F4BD9" w14:textId="441616E6" w:rsidR="0048650D" w:rsidRPr="0048650D" w:rsidRDefault="0048650D" w:rsidP="0048650D">
      <w:pPr>
        <w:widowControl w:val="0"/>
        <w:numPr>
          <w:ilvl w:val="0"/>
          <w:numId w:val="46"/>
        </w:numPr>
        <w:tabs>
          <w:tab w:val="left" w:pos="204"/>
        </w:tabs>
        <w:spacing w:before="120" w:after="120"/>
        <w:jc w:val="both"/>
        <w:rPr>
          <w:rFonts w:ascii="Arial" w:hAnsi="Arial" w:cs="Arial"/>
          <w:snapToGrid w:val="0"/>
          <w:sz w:val="20"/>
        </w:rPr>
      </w:pPr>
      <w:r w:rsidRPr="0048650D">
        <w:rPr>
          <w:rFonts w:ascii="Arial" w:hAnsi="Arial" w:cs="Arial"/>
          <w:snapToGrid w:val="0"/>
          <w:sz w:val="20"/>
        </w:rPr>
        <w:t xml:space="preserve">1.111 </w:t>
      </w:r>
      <w:r w:rsidR="00FA68F4">
        <w:rPr>
          <w:rFonts w:ascii="Arial" w:hAnsi="Arial" w:cs="Arial"/>
          <w:i/>
          <w:snapToGrid w:val="0"/>
          <w:sz w:val="20"/>
        </w:rPr>
        <w:t>€/000</w:t>
      </w:r>
      <w:r w:rsidRPr="0048650D">
        <w:rPr>
          <w:rFonts w:ascii="Arial" w:hAnsi="Arial" w:cs="Arial"/>
          <w:i/>
          <w:snapToGrid w:val="0"/>
          <w:sz w:val="20"/>
        </w:rPr>
        <w:t xml:space="preserve"> </w:t>
      </w:r>
      <w:r w:rsidRPr="0048650D">
        <w:rPr>
          <w:rFonts w:ascii="Arial" w:hAnsi="Arial" w:cs="Arial"/>
          <w:snapToGrid w:val="0"/>
          <w:sz w:val="20"/>
        </w:rPr>
        <w:t>relativi al rilascio del fondo contenzioso del personale</w:t>
      </w:r>
      <w:r>
        <w:rPr>
          <w:rFonts w:ascii="Arial" w:hAnsi="Arial" w:cs="Arial"/>
          <w:snapToGrid w:val="0"/>
          <w:sz w:val="20"/>
        </w:rPr>
        <w:t xml:space="preserve"> ANM</w:t>
      </w:r>
      <w:r w:rsidRPr="0048650D">
        <w:rPr>
          <w:rFonts w:ascii="Arial" w:hAnsi="Arial" w:cs="Arial"/>
          <w:snapToGrid w:val="0"/>
          <w:sz w:val="20"/>
        </w:rPr>
        <w:t>;</w:t>
      </w:r>
    </w:p>
    <w:p w14:paraId="241D9D00" w14:textId="77777777" w:rsidR="0048650D" w:rsidRPr="0048650D" w:rsidRDefault="0048650D" w:rsidP="0048650D">
      <w:pPr>
        <w:widowControl w:val="0"/>
        <w:numPr>
          <w:ilvl w:val="0"/>
          <w:numId w:val="45"/>
        </w:numPr>
        <w:tabs>
          <w:tab w:val="left" w:pos="204"/>
        </w:tabs>
        <w:spacing w:before="120" w:after="120"/>
        <w:jc w:val="both"/>
        <w:rPr>
          <w:rFonts w:ascii="Arial" w:hAnsi="Arial" w:cs="Arial"/>
          <w:snapToGrid w:val="0"/>
          <w:sz w:val="20"/>
        </w:rPr>
      </w:pPr>
      <w:r w:rsidRPr="0048650D">
        <w:rPr>
          <w:rFonts w:ascii="Arial" w:hAnsi="Arial" w:cs="Arial"/>
          <w:snapToGrid w:val="0"/>
          <w:sz w:val="20"/>
        </w:rPr>
        <w:t>479 €/000 relativi al rilascio fondo contenzioso cause civili</w:t>
      </w:r>
      <w:r>
        <w:rPr>
          <w:rFonts w:ascii="Arial" w:hAnsi="Arial" w:cs="Arial"/>
          <w:snapToGrid w:val="0"/>
          <w:sz w:val="20"/>
        </w:rPr>
        <w:t xml:space="preserve"> ANM</w:t>
      </w:r>
      <w:r w:rsidRPr="0048650D">
        <w:rPr>
          <w:rFonts w:ascii="Arial" w:hAnsi="Arial" w:cs="Arial"/>
          <w:snapToGrid w:val="0"/>
          <w:sz w:val="20"/>
        </w:rPr>
        <w:t>, rimodulato in base alle nuove ipotesi di soccombenza;</w:t>
      </w:r>
    </w:p>
    <w:p w14:paraId="1F1CC253" w14:textId="77777777" w:rsidR="0048650D" w:rsidRPr="0048650D" w:rsidRDefault="0048650D" w:rsidP="0048650D">
      <w:pPr>
        <w:widowControl w:val="0"/>
        <w:numPr>
          <w:ilvl w:val="0"/>
          <w:numId w:val="44"/>
        </w:numPr>
        <w:tabs>
          <w:tab w:val="left" w:pos="204"/>
        </w:tabs>
        <w:spacing w:before="120" w:after="120"/>
        <w:jc w:val="both"/>
        <w:rPr>
          <w:rFonts w:ascii="Arial" w:hAnsi="Arial" w:cs="Arial"/>
          <w:snapToGrid w:val="0"/>
          <w:sz w:val="20"/>
        </w:rPr>
      </w:pPr>
      <w:r w:rsidRPr="0048650D">
        <w:rPr>
          <w:rFonts w:ascii="Arial" w:hAnsi="Arial" w:cs="Arial"/>
          <w:snapToGrid w:val="0"/>
          <w:sz w:val="20"/>
        </w:rPr>
        <w:t xml:space="preserve">378 €/000 relativi al rilascio del fondo svalutazione per i crediti </w:t>
      </w:r>
      <w:r>
        <w:rPr>
          <w:rFonts w:ascii="Arial" w:hAnsi="Arial" w:cs="Arial"/>
          <w:snapToGrid w:val="0"/>
          <w:sz w:val="20"/>
        </w:rPr>
        <w:t xml:space="preserve">ANM </w:t>
      </w:r>
      <w:r w:rsidRPr="0048650D">
        <w:rPr>
          <w:rFonts w:ascii="Arial" w:hAnsi="Arial" w:cs="Arial"/>
          <w:snapToGrid w:val="0"/>
          <w:sz w:val="20"/>
        </w:rPr>
        <w:t>verso Sepsa e Metrocampania;</w:t>
      </w:r>
    </w:p>
    <w:p w14:paraId="2D579BE8" w14:textId="77777777" w:rsidR="0048650D" w:rsidRPr="0048650D" w:rsidRDefault="0048650D" w:rsidP="0048650D">
      <w:pPr>
        <w:widowControl w:val="0"/>
        <w:numPr>
          <w:ilvl w:val="0"/>
          <w:numId w:val="44"/>
        </w:numPr>
        <w:tabs>
          <w:tab w:val="left" w:pos="204"/>
        </w:tabs>
        <w:spacing w:before="120" w:after="120"/>
        <w:jc w:val="both"/>
        <w:rPr>
          <w:rFonts w:ascii="Arial" w:hAnsi="Arial" w:cs="Arial"/>
          <w:snapToGrid w:val="0"/>
          <w:sz w:val="20"/>
        </w:rPr>
      </w:pPr>
      <w:r w:rsidRPr="0048650D">
        <w:rPr>
          <w:rFonts w:ascii="Arial" w:hAnsi="Arial" w:cs="Arial"/>
          <w:snapToGrid w:val="0"/>
          <w:sz w:val="20"/>
        </w:rPr>
        <w:t>311 €/000 relativi al rilascio del fondo per franchigie assicurative</w:t>
      </w:r>
      <w:r>
        <w:rPr>
          <w:rFonts w:ascii="Arial" w:hAnsi="Arial" w:cs="Arial"/>
          <w:snapToGrid w:val="0"/>
          <w:sz w:val="20"/>
        </w:rPr>
        <w:t xml:space="preserve"> ANM</w:t>
      </w:r>
      <w:r w:rsidRPr="0048650D">
        <w:rPr>
          <w:rFonts w:ascii="Arial" w:hAnsi="Arial" w:cs="Arial"/>
          <w:snapToGrid w:val="0"/>
          <w:sz w:val="20"/>
        </w:rPr>
        <w:t>, rimodulato in base alle nuove ipotesi elaborate e i riscontri forniti dalle Compagnie assicurative;</w:t>
      </w:r>
    </w:p>
    <w:p w14:paraId="1504DE23" w14:textId="77777777" w:rsidR="0048650D" w:rsidRPr="0048650D" w:rsidRDefault="0048650D" w:rsidP="0048650D">
      <w:pPr>
        <w:widowControl w:val="0"/>
        <w:numPr>
          <w:ilvl w:val="0"/>
          <w:numId w:val="44"/>
        </w:numPr>
        <w:tabs>
          <w:tab w:val="left" w:pos="204"/>
        </w:tabs>
        <w:spacing w:before="120" w:after="120"/>
        <w:jc w:val="both"/>
        <w:rPr>
          <w:rFonts w:ascii="Arial" w:hAnsi="Arial" w:cs="Arial"/>
          <w:snapToGrid w:val="0"/>
          <w:sz w:val="20"/>
        </w:rPr>
      </w:pPr>
      <w:r w:rsidRPr="0048650D">
        <w:rPr>
          <w:rFonts w:ascii="Arial" w:hAnsi="Arial" w:cs="Arial"/>
          <w:snapToGrid w:val="0"/>
          <w:sz w:val="20"/>
        </w:rPr>
        <w:t>245€/000 relativi a rilascio accantonamenti di fatture da ricevere</w:t>
      </w:r>
      <w:r>
        <w:rPr>
          <w:rFonts w:ascii="Arial" w:hAnsi="Arial" w:cs="Arial"/>
          <w:snapToGrid w:val="0"/>
          <w:sz w:val="20"/>
        </w:rPr>
        <w:t xml:space="preserve"> ANM</w:t>
      </w:r>
      <w:r w:rsidRPr="0048650D">
        <w:rPr>
          <w:rFonts w:ascii="Arial" w:hAnsi="Arial" w:cs="Arial"/>
          <w:snapToGrid w:val="0"/>
          <w:sz w:val="20"/>
        </w:rPr>
        <w:t>, stanziati in esercizi precedenti;</w:t>
      </w:r>
    </w:p>
    <w:p w14:paraId="76CAA9CC" w14:textId="77777777" w:rsidR="0048650D" w:rsidRPr="0048650D" w:rsidRDefault="0048650D" w:rsidP="0048650D">
      <w:pPr>
        <w:widowControl w:val="0"/>
        <w:numPr>
          <w:ilvl w:val="0"/>
          <w:numId w:val="44"/>
        </w:numPr>
        <w:tabs>
          <w:tab w:val="left" w:pos="204"/>
        </w:tabs>
        <w:spacing w:before="120" w:after="120"/>
        <w:jc w:val="both"/>
        <w:rPr>
          <w:rFonts w:ascii="Arial" w:hAnsi="Arial" w:cs="Arial"/>
          <w:snapToGrid w:val="0"/>
          <w:sz w:val="20"/>
        </w:rPr>
      </w:pPr>
      <w:r w:rsidRPr="0048650D">
        <w:rPr>
          <w:rFonts w:ascii="Arial" w:hAnsi="Arial" w:cs="Arial"/>
          <w:snapToGrid w:val="0"/>
          <w:sz w:val="20"/>
        </w:rPr>
        <w:t xml:space="preserve">14 €/000 relativi a rilascio sanzioni </w:t>
      </w:r>
      <w:r>
        <w:rPr>
          <w:rFonts w:ascii="Arial" w:hAnsi="Arial" w:cs="Arial"/>
          <w:snapToGrid w:val="0"/>
          <w:sz w:val="20"/>
        </w:rPr>
        <w:t xml:space="preserve">ANM </w:t>
      </w:r>
      <w:r w:rsidRPr="0048650D">
        <w:rPr>
          <w:rFonts w:ascii="Arial" w:hAnsi="Arial" w:cs="Arial"/>
          <w:snapToGrid w:val="0"/>
          <w:sz w:val="20"/>
        </w:rPr>
        <w:t>accantonate per la Tares 2018 ma computate in misura maggiore rispetto a quelle potenzialmente dovute.</w:t>
      </w:r>
    </w:p>
    <w:p w14:paraId="57E0E314" w14:textId="77777777" w:rsidR="002245E7" w:rsidRPr="002245E7" w:rsidRDefault="002245E7" w:rsidP="0048650D">
      <w:pPr>
        <w:widowControl w:val="0"/>
        <w:spacing w:before="120" w:after="120"/>
        <w:jc w:val="both"/>
        <w:rPr>
          <w:rFonts w:ascii="Arial" w:hAnsi="Arial" w:cs="Arial"/>
          <w:snapToGrid w:val="0"/>
          <w:sz w:val="20"/>
        </w:rPr>
      </w:pPr>
      <w:r w:rsidRPr="002245E7">
        <w:rPr>
          <w:rFonts w:ascii="Arial" w:hAnsi="Arial" w:cs="Arial"/>
          <w:snapToGrid w:val="0"/>
          <w:sz w:val="20"/>
        </w:rPr>
        <w:t>La voce “sopravvenienze attive</w:t>
      </w:r>
      <w:r w:rsidR="0048650D" w:rsidRPr="002245E7">
        <w:rPr>
          <w:rFonts w:ascii="Arial" w:hAnsi="Arial" w:cs="Arial"/>
          <w:snapToGrid w:val="0"/>
          <w:sz w:val="20"/>
        </w:rPr>
        <w:t>”,</w:t>
      </w:r>
      <w:r w:rsidRPr="002245E7">
        <w:rPr>
          <w:rFonts w:ascii="Arial" w:hAnsi="Arial" w:cs="Arial"/>
          <w:snapToGrid w:val="0"/>
          <w:sz w:val="20"/>
        </w:rPr>
        <w:t xml:space="preserve"> riclassificata alla voce in oggetto, rileva tra gli importi </w:t>
      </w:r>
      <w:r w:rsidR="00EA7C8E" w:rsidRPr="002245E7">
        <w:rPr>
          <w:rFonts w:ascii="Arial" w:hAnsi="Arial" w:cs="Arial"/>
          <w:snapToGrid w:val="0"/>
          <w:sz w:val="20"/>
        </w:rPr>
        <w:t>più</w:t>
      </w:r>
      <w:r w:rsidRPr="002245E7">
        <w:rPr>
          <w:rFonts w:ascii="Arial" w:hAnsi="Arial" w:cs="Arial"/>
          <w:snapToGrid w:val="0"/>
          <w:sz w:val="20"/>
        </w:rPr>
        <w:t xml:space="preserve"> significativi</w:t>
      </w:r>
      <w:r w:rsidR="0048650D">
        <w:rPr>
          <w:rFonts w:ascii="Arial" w:hAnsi="Arial" w:cs="Arial"/>
          <w:snapToGrid w:val="0"/>
          <w:sz w:val="20"/>
        </w:rPr>
        <w:t xml:space="preserve"> quelli afferenti alla ANM per</w:t>
      </w:r>
      <w:r w:rsidRPr="002245E7">
        <w:rPr>
          <w:rFonts w:ascii="Arial" w:hAnsi="Arial" w:cs="Arial"/>
          <w:snapToGrid w:val="0"/>
          <w:sz w:val="20"/>
        </w:rPr>
        <w:t>:</w:t>
      </w:r>
    </w:p>
    <w:p w14:paraId="69746CBA" w14:textId="77777777" w:rsidR="0048650D" w:rsidRPr="0048650D" w:rsidRDefault="0048650D" w:rsidP="0048650D">
      <w:pPr>
        <w:widowControl w:val="0"/>
        <w:numPr>
          <w:ilvl w:val="0"/>
          <w:numId w:val="30"/>
        </w:numPr>
        <w:tabs>
          <w:tab w:val="left" w:pos="204"/>
        </w:tabs>
        <w:spacing w:before="120" w:after="120"/>
        <w:jc w:val="both"/>
        <w:rPr>
          <w:rFonts w:ascii="Arial" w:hAnsi="Arial" w:cs="Arial"/>
          <w:snapToGrid w:val="0"/>
          <w:sz w:val="20"/>
        </w:rPr>
      </w:pPr>
      <w:r w:rsidRPr="0048650D">
        <w:rPr>
          <w:rFonts w:ascii="Arial" w:hAnsi="Arial" w:cs="Arial"/>
          <w:snapToGrid w:val="0"/>
          <w:sz w:val="20"/>
        </w:rPr>
        <w:t>1.678 €/000 relativi alla istanza per la copertura oneri malattia anno 2018, ma presentata nel 2019.</w:t>
      </w:r>
    </w:p>
    <w:p w14:paraId="327BFC14" w14:textId="77777777" w:rsidR="0048650D" w:rsidRPr="0048650D" w:rsidRDefault="0048650D" w:rsidP="0048650D">
      <w:pPr>
        <w:widowControl w:val="0"/>
        <w:numPr>
          <w:ilvl w:val="0"/>
          <w:numId w:val="30"/>
        </w:numPr>
        <w:tabs>
          <w:tab w:val="left" w:pos="204"/>
        </w:tabs>
        <w:spacing w:before="120" w:after="120"/>
        <w:jc w:val="both"/>
        <w:rPr>
          <w:rFonts w:ascii="Arial" w:hAnsi="Arial" w:cs="Arial"/>
          <w:snapToGrid w:val="0"/>
          <w:sz w:val="20"/>
        </w:rPr>
      </w:pPr>
      <w:r w:rsidRPr="0048650D">
        <w:rPr>
          <w:rFonts w:ascii="Arial" w:hAnsi="Arial" w:cs="Arial"/>
          <w:snapToGrid w:val="0"/>
          <w:sz w:val="20"/>
        </w:rPr>
        <w:t>2.201 €/000 relativi all’incasso del finanziamento a copertura dei costi per incentivo all’esodo sostenuti nel 2018;</w:t>
      </w:r>
    </w:p>
    <w:p w14:paraId="5982634E" w14:textId="77777777" w:rsidR="0048650D" w:rsidRPr="0048650D" w:rsidRDefault="0048650D" w:rsidP="0048650D">
      <w:pPr>
        <w:widowControl w:val="0"/>
        <w:numPr>
          <w:ilvl w:val="0"/>
          <w:numId w:val="30"/>
        </w:numPr>
        <w:tabs>
          <w:tab w:val="left" w:pos="204"/>
        </w:tabs>
        <w:spacing w:before="120" w:after="120"/>
        <w:jc w:val="both"/>
        <w:rPr>
          <w:rFonts w:ascii="Arial" w:hAnsi="Arial" w:cs="Arial"/>
          <w:snapToGrid w:val="0"/>
          <w:sz w:val="20"/>
        </w:rPr>
      </w:pPr>
      <w:r w:rsidRPr="0048650D">
        <w:rPr>
          <w:rFonts w:ascii="Arial" w:hAnsi="Arial" w:cs="Arial"/>
          <w:snapToGrid w:val="0"/>
          <w:sz w:val="20"/>
        </w:rPr>
        <w:t>237 €/000 relativi ad un incremento di accertamenti IMSCN 2018</w:t>
      </w:r>
    </w:p>
    <w:p w14:paraId="7A289195" w14:textId="77777777" w:rsidR="006C3B24" w:rsidRDefault="0048650D" w:rsidP="0048650D">
      <w:pPr>
        <w:widowControl w:val="0"/>
        <w:numPr>
          <w:ilvl w:val="0"/>
          <w:numId w:val="30"/>
        </w:numPr>
        <w:tabs>
          <w:tab w:val="left" w:pos="204"/>
        </w:tabs>
        <w:spacing w:before="120" w:after="120"/>
        <w:jc w:val="both"/>
        <w:rPr>
          <w:rFonts w:ascii="Arial" w:hAnsi="Arial" w:cs="Arial"/>
          <w:snapToGrid w:val="0"/>
          <w:sz w:val="20"/>
        </w:rPr>
      </w:pPr>
      <w:r w:rsidRPr="0048650D">
        <w:rPr>
          <w:rFonts w:ascii="Arial" w:hAnsi="Arial" w:cs="Arial"/>
          <w:snapToGrid w:val="0"/>
          <w:sz w:val="20"/>
        </w:rPr>
        <w:t>240 €/000 derivanti dalla transazione siglata con la Eav</w:t>
      </w:r>
      <w:r>
        <w:rPr>
          <w:rFonts w:ascii="Arial" w:hAnsi="Arial" w:cs="Arial"/>
          <w:snapToGrid w:val="0"/>
          <w:sz w:val="20"/>
        </w:rPr>
        <w:t>.</w:t>
      </w:r>
    </w:p>
    <w:p w14:paraId="0165F0B4" w14:textId="1E7943DB" w:rsidR="0048650D" w:rsidRDefault="0048650D" w:rsidP="0048650D">
      <w:pPr>
        <w:widowControl w:val="0"/>
        <w:tabs>
          <w:tab w:val="left" w:pos="204"/>
        </w:tabs>
        <w:spacing w:before="120" w:after="120"/>
        <w:jc w:val="both"/>
        <w:rPr>
          <w:rFonts w:ascii="Arial" w:hAnsi="Arial" w:cs="Arial"/>
          <w:snapToGrid w:val="0"/>
          <w:sz w:val="20"/>
        </w:rPr>
      </w:pPr>
      <w:r>
        <w:rPr>
          <w:rFonts w:ascii="Arial" w:hAnsi="Arial" w:cs="Arial"/>
          <w:snapToGrid w:val="0"/>
          <w:sz w:val="20"/>
        </w:rPr>
        <w:t>Sempre in tale voce rileva</w:t>
      </w:r>
      <w:r w:rsidR="001E5A87">
        <w:rPr>
          <w:rFonts w:ascii="Arial" w:hAnsi="Arial" w:cs="Arial"/>
          <w:snapToGrid w:val="0"/>
          <w:sz w:val="20"/>
        </w:rPr>
        <w:t xml:space="preserve">, per quanto concerne </w:t>
      </w:r>
      <w:r w:rsidR="00725464">
        <w:rPr>
          <w:rFonts w:ascii="Arial" w:hAnsi="Arial" w:cs="Arial"/>
          <w:snapToGrid w:val="0"/>
          <w:sz w:val="20"/>
        </w:rPr>
        <w:t>l</w:t>
      </w:r>
      <w:r w:rsidR="001E5A87">
        <w:rPr>
          <w:rFonts w:ascii="Arial" w:hAnsi="Arial" w:cs="Arial"/>
          <w:snapToGrid w:val="0"/>
          <w:sz w:val="20"/>
        </w:rPr>
        <w:t>a Napoli Holding,</w:t>
      </w:r>
      <w:r w:rsidR="001E5A87" w:rsidRPr="001E5A87">
        <w:rPr>
          <w:rFonts w:ascii="Arial" w:hAnsi="Arial" w:cs="Arial"/>
          <w:snapToGrid w:val="0"/>
          <w:sz w:val="20"/>
        </w:rPr>
        <w:t xml:space="preserve"> </w:t>
      </w:r>
      <w:r w:rsidR="001E5A87">
        <w:rPr>
          <w:rFonts w:ascii="Arial" w:hAnsi="Arial" w:cs="Arial"/>
          <w:snapToGrid w:val="0"/>
          <w:sz w:val="20"/>
        </w:rPr>
        <w:t xml:space="preserve">l’importo di </w:t>
      </w:r>
      <w:r w:rsidR="001E5A87" w:rsidRPr="001E5A87">
        <w:rPr>
          <w:rFonts w:ascii="Arial" w:hAnsi="Arial" w:cs="Arial"/>
          <w:snapToGrid w:val="0"/>
          <w:sz w:val="20"/>
        </w:rPr>
        <w:t xml:space="preserve">euro 565 mila circa per il rilascio parziale del fondo accantonamento premialità TPL </w:t>
      </w:r>
      <w:r w:rsidR="001E5A87">
        <w:rPr>
          <w:rFonts w:ascii="Arial" w:hAnsi="Arial" w:cs="Arial"/>
          <w:snapToGrid w:val="0"/>
          <w:sz w:val="20"/>
        </w:rPr>
        <w:t xml:space="preserve">e </w:t>
      </w:r>
      <w:r w:rsidR="001E5A87" w:rsidRPr="001E5A87">
        <w:rPr>
          <w:rFonts w:ascii="Arial" w:hAnsi="Arial" w:cs="Arial"/>
          <w:snapToGrid w:val="0"/>
          <w:sz w:val="20"/>
        </w:rPr>
        <w:t>circa euro 364 mila per correzioni e rettifiche contabili diverse (circa euro 98 mila)</w:t>
      </w:r>
      <w:r w:rsidR="001E5A87">
        <w:rPr>
          <w:rFonts w:ascii="Arial" w:hAnsi="Arial" w:cs="Arial"/>
          <w:snapToGrid w:val="0"/>
          <w:sz w:val="20"/>
        </w:rPr>
        <w:t>,</w:t>
      </w:r>
      <w:r w:rsidR="001E5A87" w:rsidRPr="001E5A87">
        <w:rPr>
          <w:rFonts w:ascii="Arial" w:hAnsi="Arial" w:cs="Arial"/>
          <w:snapToGrid w:val="0"/>
          <w:sz w:val="20"/>
        </w:rPr>
        <w:t xml:space="preserve"> per debiti prescritti (circa euro 9 mila) e per il rilascio dei fondi rischi</w:t>
      </w:r>
      <w:r w:rsidR="001E5A87">
        <w:rPr>
          <w:rFonts w:ascii="Arial" w:hAnsi="Arial" w:cs="Arial"/>
          <w:snapToGrid w:val="0"/>
          <w:sz w:val="20"/>
        </w:rPr>
        <w:t>.</w:t>
      </w:r>
    </w:p>
    <w:p w14:paraId="3ECFC856" w14:textId="77777777" w:rsidR="001E5A87" w:rsidRDefault="001E5A87" w:rsidP="0048650D">
      <w:pPr>
        <w:widowControl w:val="0"/>
        <w:tabs>
          <w:tab w:val="left" w:pos="204"/>
        </w:tabs>
        <w:spacing w:before="120" w:after="120"/>
        <w:jc w:val="both"/>
        <w:rPr>
          <w:rFonts w:ascii="Arial" w:hAnsi="Arial" w:cs="Arial"/>
          <w:snapToGrid w:val="0"/>
          <w:sz w:val="20"/>
        </w:rPr>
      </w:pPr>
    </w:p>
    <w:p w14:paraId="444565C2" w14:textId="77777777" w:rsidR="00EE4AF0" w:rsidRPr="00F96BD1" w:rsidRDefault="006C3B24" w:rsidP="002D4D1D">
      <w:pPr>
        <w:widowControl w:val="0"/>
        <w:shd w:val="clear" w:color="auto" w:fill="F3F3F3"/>
        <w:tabs>
          <w:tab w:val="left" w:pos="7766"/>
        </w:tabs>
        <w:spacing w:before="120" w:after="120"/>
        <w:jc w:val="both"/>
        <w:rPr>
          <w:rFonts w:ascii="Arial" w:hAnsi="Arial" w:cs="Arial"/>
          <w:b/>
          <w:snapToGrid w:val="0"/>
          <w:sz w:val="20"/>
        </w:rPr>
      </w:pPr>
      <w:r>
        <w:t>C</w:t>
      </w:r>
      <w:r w:rsidR="00EE4AF0" w:rsidRPr="00F96BD1">
        <w:rPr>
          <w:rFonts w:ascii="Arial" w:hAnsi="Arial" w:cs="Arial"/>
          <w:b/>
          <w:bCs/>
          <w:sz w:val="20"/>
        </w:rPr>
        <w:t>ommento alle principali voci del conto economico (costi della produzione)</w:t>
      </w:r>
    </w:p>
    <w:p w14:paraId="355D929A" w14:textId="77777777" w:rsidR="00EE4AF0" w:rsidRPr="00F96BD1" w:rsidRDefault="00EE4AF0" w:rsidP="002D4D1D">
      <w:pPr>
        <w:widowControl w:val="0"/>
        <w:tabs>
          <w:tab w:val="left" w:pos="204"/>
        </w:tabs>
        <w:spacing w:before="120" w:after="120"/>
        <w:jc w:val="both"/>
        <w:rPr>
          <w:rFonts w:ascii="Arial" w:hAnsi="Arial" w:cs="Arial"/>
          <w:b/>
          <w:snapToGrid w:val="0"/>
          <w:sz w:val="20"/>
        </w:rPr>
      </w:pPr>
      <w:r w:rsidRPr="00F96BD1">
        <w:rPr>
          <w:rFonts w:ascii="Arial" w:hAnsi="Arial" w:cs="Arial"/>
          <w:b/>
          <w:snapToGrid w:val="0"/>
          <w:sz w:val="20"/>
        </w:rPr>
        <w:t>Per materie prime sussidiare di consumo e merci</w:t>
      </w:r>
    </w:p>
    <w:p w14:paraId="61CDF097" w14:textId="08EF9BA9" w:rsidR="00EE4AF0" w:rsidRDefault="00EE4AF0" w:rsidP="006B2E84">
      <w:pPr>
        <w:widowControl w:val="0"/>
        <w:spacing w:before="120" w:after="120"/>
        <w:jc w:val="both"/>
        <w:rPr>
          <w:rFonts w:ascii="Arial" w:hAnsi="Arial" w:cs="Arial"/>
          <w:snapToGrid w:val="0"/>
          <w:sz w:val="20"/>
        </w:rPr>
      </w:pPr>
      <w:r w:rsidRPr="00A60FCF">
        <w:rPr>
          <w:rFonts w:ascii="Arial" w:hAnsi="Arial" w:cs="Arial"/>
          <w:snapToGrid w:val="0"/>
          <w:sz w:val="20"/>
        </w:rPr>
        <w:t>La voce</w:t>
      </w:r>
      <w:r w:rsidR="006B2E84">
        <w:rPr>
          <w:rFonts w:ascii="Arial" w:hAnsi="Arial" w:cs="Arial"/>
          <w:snapToGrid w:val="0"/>
          <w:sz w:val="20"/>
        </w:rPr>
        <w:t xml:space="preserve"> riguarda la controllata ANM ed</w:t>
      </w:r>
      <w:r w:rsidRPr="00A60FCF">
        <w:rPr>
          <w:rFonts w:ascii="Arial" w:hAnsi="Arial" w:cs="Arial"/>
          <w:snapToGrid w:val="0"/>
          <w:sz w:val="20"/>
        </w:rPr>
        <w:t xml:space="preserve"> è così composta</w:t>
      </w:r>
      <w:r w:rsidR="00B474F4" w:rsidRPr="00A60FCF">
        <w:rPr>
          <w:rFonts w:ascii="Arial" w:hAnsi="Arial" w:cs="Arial"/>
          <w:snapToGrid w:val="0"/>
          <w:sz w:val="20"/>
        </w:rPr>
        <w:t>:</w:t>
      </w:r>
    </w:p>
    <w:p w14:paraId="6B335113" w14:textId="2ABA25F6" w:rsidR="00D65236" w:rsidRPr="008B3BFA" w:rsidRDefault="00D65236" w:rsidP="006B2E84">
      <w:pPr>
        <w:widowControl w:val="0"/>
        <w:spacing w:before="120" w:after="120"/>
        <w:jc w:val="both"/>
        <w:rPr>
          <w:rFonts w:ascii="Arial" w:hAnsi="Arial" w:cs="Arial"/>
          <w:snapToGrid w:val="0"/>
          <w:sz w:val="18"/>
          <w:szCs w:val="18"/>
        </w:rPr>
      </w:pPr>
      <w:r w:rsidRPr="008B3BFA">
        <w:rPr>
          <w:rFonts w:ascii="Arial" w:hAnsi="Arial" w:cs="Arial"/>
          <w:i/>
          <w:iCs/>
          <w:snapToGrid w:val="0"/>
          <w:sz w:val="18"/>
          <w:szCs w:val="18"/>
        </w:rPr>
        <w:t>Euro/000</w:t>
      </w:r>
    </w:p>
    <w:tbl>
      <w:tblPr>
        <w:tblW w:w="8505" w:type="dxa"/>
        <w:tblInd w:w="75" w:type="dxa"/>
        <w:tblCellMar>
          <w:left w:w="70" w:type="dxa"/>
          <w:right w:w="70" w:type="dxa"/>
        </w:tblCellMar>
        <w:tblLook w:val="04A0" w:firstRow="1" w:lastRow="0" w:firstColumn="1" w:lastColumn="0" w:noHBand="0" w:noVBand="1"/>
      </w:tblPr>
      <w:tblGrid>
        <w:gridCol w:w="4106"/>
        <w:gridCol w:w="2131"/>
        <w:gridCol w:w="2268"/>
      </w:tblGrid>
      <w:tr w:rsidR="006B2E84" w14:paraId="117CB560" w14:textId="77777777" w:rsidTr="006B2E84">
        <w:trPr>
          <w:trHeight w:val="405"/>
        </w:trPr>
        <w:tc>
          <w:tcPr>
            <w:tcW w:w="4106" w:type="dxa"/>
            <w:tcBorders>
              <w:top w:val="single" w:sz="4" w:space="0" w:color="auto"/>
              <w:left w:val="single" w:sz="4" w:space="0" w:color="auto"/>
              <w:bottom w:val="single" w:sz="4" w:space="0" w:color="auto"/>
              <w:right w:val="nil"/>
            </w:tcBorders>
            <w:shd w:val="clear" w:color="auto" w:fill="auto"/>
            <w:noWrap/>
            <w:vAlign w:val="center"/>
            <w:hideMark/>
          </w:tcPr>
          <w:p w14:paraId="3493B81C" w14:textId="77777777" w:rsidR="006B2E84" w:rsidRDefault="006B2E84">
            <w:pPr>
              <w:rPr>
                <w:rFonts w:ascii="Calibri" w:hAnsi="Calibri" w:cs="Calibri"/>
                <w:color w:val="000000"/>
                <w:sz w:val="20"/>
                <w:szCs w:val="20"/>
              </w:rPr>
            </w:pPr>
            <w:r>
              <w:rPr>
                <w:rFonts w:ascii="Calibri" w:hAnsi="Calibri" w:cs="Calibri"/>
                <w:color w:val="000000"/>
                <w:sz w:val="20"/>
                <w:szCs w:val="20"/>
              </w:rPr>
              <w:t> </w:t>
            </w:r>
          </w:p>
        </w:tc>
        <w:tc>
          <w:tcPr>
            <w:tcW w:w="2131" w:type="dxa"/>
            <w:tcBorders>
              <w:top w:val="single" w:sz="4" w:space="0" w:color="auto"/>
              <w:left w:val="nil"/>
              <w:bottom w:val="single" w:sz="4" w:space="0" w:color="auto"/>
              <w:right w:val="nil"/>
            </w:tcBorders>
            <w:shd w:val="clear" w:color="auto" w:fill="auto"/>
            <w:noWrap/>
            <w:vAlign w:val="center"/>
            <w:hideMark/>
          </w:tcPr>
          <w:p w14:paraId="220AC930" w14:textId="77777777" w:rsidR="006B2E84" w:rsidRDefault="006B2E84">
            <w:pPr>
              <w:jc w:val="center"/>
              <w:rPr>
                <w:rFonts w:ascii="Calibri" w:hAnsi="Calibri" w:cs="Calibri"/>
                <w:b/>
                <w:bCs/>
                <w:color w:val="000000"/>
                <w:sz w:val="20"/>
                <w:szCs w:val="20"/>
              </w:rPr>
            </w:pPr>
            <w:r>
              <w:rPr>
                <w:rFonts w:ascii="Calibri" w:hAnsi="Calibri" w:cs="Calibri"/>
                <w:b/>
                <w:bCs/>
                <w:color w:val="000000"/>
                <w:sz w:val="20"/>
                <w:szCs w:val="20"/>
              </w:rPr>
              <w:t>Esercizio 2019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2D50710" w14:textId="77777777" w:rsidR="006B2E84" w:rsidRDefault="006B2E84">
            <w:pPr>
              <w:jc w:val="center"/>
              <w:rPr>
                <w:rFonts w:ascii="Calibri" w:hAnsi="Calibri" w:cs="Calibri"/>
                <w:b/>
                <w:bCs/>
                <w:color w:val="000000"/>
                <w:sz w:val="20"/>
                <w:szCs w:val="20"/>
              </w:rPr>
            </w:pPr>
            <w:r>
              <w:rPr>
                <w:rFonts w:ascii="Calibri" w:hAnsi="Calibri" w:cs="Calibri"/>
                <w:b/>
                <w:bCs/>
                <w:color w:val="000000"/>
                <w:sz w:val="20"/>
                <w:szCs w:val="20"/>
              </w:rPr>
              <w:t>Esercizio 2018</w:t>
            </w:r>
          </w:p>
        </w:tc>
      </w:tr>
      <w:tr w:rsidR="006B2E84" w14:paraId="12B2E51E" w14:textId="77777777" w:rsidTr="006B2E84">
        <w:trPr>
          <w:trHeight w:val="315"/>
        </w:trPr>
        <w:tc>
          <w:tcPr>
            <w:tcW w:w="4106" w:type="dxa"/>
            <w:tcBorders>
              <w:top w:val="nil"/>
              <w:left w:val="single" w:sz="4" w:space="0" w:color="auto"/>
              <w:bottom w:val="nil"/>
              <w:right w:val="nil"/>
            </w:tcBorders>
            <w:shd w:val="clear" w:color="auto" w:fill="auto"/>
            <w:noWrap/>
            <w:vAlign w:val="bottom"/>
            <w:hideMark/>
          </w:tcPr>
          <w:p w14:paraId="7846DF11" w14:textId="77777777" w:rsidR="006B2E84" w:rsidRDefault="006B2E84">
            <w:pPr>
              <w:rPr>
                <w:b/>
                <w:bCs/>
                <w:sz w:val="20"/>
                <w:szCs w:val="20"/>
              </w:rPr>
            </w:pPr>
            <w:r>
              <w:rPr>
                <w:b/>
                <w:bCs/>
                <w:sz w:val="20"/>
                <w:szCs w:val="20"/>
              </w:rPr>
              <w:t>6.Per materie prime, sussidiarie e di consumo</w:t>
            </w:r>
          </w:p>
        </w:tc>
        <w:tc>
          <w:tcPr>
            <w:tcW w:w="2131" w:type="dxa"/>
            <w:tcBorders>
              <w:top w:val="nil"/>
              <w:left w:val="nil"/>
              <w:bottom w:val="nil"/>
              <w:right w:val="nil"/>
            </w:tcBorders>
            <w:shd w:val="clear" w:color="auto" w:fill="auto"/>
            <w:noWrap/>
            <w:vAlign w:val="bottom"/>
            <w:hideMark/>
          </w:tcPr>
          <w:p w14:paraId="51E87C0C" w14:textId="77777777" w:rsidR="006B2E84" w:rsidRPr="006B2E84" w:rsidRDefault="006B2E84">
            <w:pPr>
              <w:jc w:val="right"/>
              <w:rPr>
                <w:b/>
                <w:bCs/>
                <w:sz w:val="20"/>
                <w:szCs w:val="20"/>
              </w:rPr>
            </w:pPr>
            <w:r w:rsidRPr="006B2E84">
              <w:rPr>
                <w:b/>
                <w:bCs/>
                <w:sz w:val="20"/>
                <w:szCs w:val="20"/>
              </w:rPr>
              <w:t>15.004</w:t>
            </w:r>
          </w:p>
        </w:tc>
        <w:tc>
          <w:tcPr>
            <w:tcW w:w="2268" w:type="dxa"/>
            <w:tcBorders>
              <w:top w:val="nil"/>
              <w:left w:val="nil"/>
              <w:bottom w:val="nil"/>
              <w:right w:val="single" w:sz="4" w:space="0" w:color="auto"/>
            </w:tcBorders>
            <w:shd w:val="clear" w:color="auto" w:fill="auto"/>
            <w:noWrap/>
            <w:vAlign w:val="bottom"/>
            <w:hideMark/>
          </w:tcPr>
          <w:p w14:paraId="5EEBAF59" w14:textId="77777777" w:rsidR="006B2E84" w:rsidRPr="006B2E84" w:rsidRDefault="006B2E84">
            <w:pPr>
              <w:jc w:val="right"/>
              <w:rPr>
                <w:b/>
                <w:bCs/>
                <w:sz w:val="20"/>
                <w:szCs w:val="20"/>
              </w:rPr>
            </w:pPr>
            <w:r w:rsidRPr="006B2E84">
              <w:rPr>
                <w:b/>
                <w:bCs/>
                <w:sz w:val="20"/>
                <w:szCs w:val="20"/>
              </w:rPr>
              <w:t>14.711</w:t>
            </w:r>
          </w:p>
        </w:tc>
      </w:tr>
      <w:tr w:rsidR="006B2E84" w14:paraId="26EF3385"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740C6612" w14:textId="77777777" w:rsidR="006B2E84" w:rsidRDefault="006B2E84">
            <w:pPr>
              <w:rPr>
                <w:rFonts w:ascii="Calibri" w:hAnsi="Calibri" w:cs="Calibri"/>
                <w:color w:val="000000"/>
                <w:sz w:val="20"/>
                <w:szCs w:val="20"/>
              </w:rPr>
            </w:pPr>
            <w:r>
              <w:rPr>
                <w:rFonts w:ascii="Calibri" w:hAnsi="Calibri" w:cs="Calibri"/>
                <w:color w:val="000000"/>
                <w:sz w:val="20"/>
                <w:szCs w:val="20"/>
              </w:rPr>
              <w:t>Ricambi</w:t>
            </w:r>
          </w:p>
        </w:tc>
        <w:tc>
          <w:tcPr>
            <w:tcW w:w="2131" w:type="dxa"/>
            <w:tcBorders>
              <w:top w:val="nil"/>
              <w:left w:val="nil"/>
              <w:bottom w:val="nil"/>
              <w:right w:val="nil"/>
            </w:tcBorders>
            <w:shd w:val="clear" w:color="auto" w:fill="auto"/>
            <w:vAlign w:val="center"/>
            <w:hideMark/>
          </w:tcPr>
          <w:p w14:paraId="1AB4A6E5"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1.735</w:t>
            </w:r>
          </w:p>
        </w:tc>
        <w:tc>
          <w:tcPr>
            <w:tcW w:w="2268" w:type="dxa"/>
            <w:tcBorders>
              <w:top w:val="nil"/>
              <w:left w:val="nil"/>
              <w:bottom w:val="nil"/>
              <w:right w:val="single" w:sz="4" w:space="0" w:color="auto"/>
            </w:tcBorders>
            <w:shd w:val="clear" w:color="auto" w:fill="auto"/>
            <w:vAlign w:val="center"/>
            <w:hideMark/>
          </w:tcPr>
          <w:p w14:paraId="1F735777"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1.466</w:t>
            </w:r>
          </w:p>
        </w:tc>
      </w:tr>
      <w:tr w:rsidR="006B2E84" w14:paraId="609FCB53"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41982D23" w14:textId="77777777" w:rsidR="006B2E84" w:rsidRDefault="006B2E84">
            <w:pPr>
              <w:rPr>
                <w:rFonts w:ascii="Calibri" w:hAnsi="Calibri" w:cs="Calibri"/>
                <w:color w:val="000000"/>
                <w:sz w:val="20"/>
                <w:szCs w:val="20"/>
              </w:rPr>
            </w:pPr>
            <w:r>
              <w:rPr>
                <w:rFonts w:ascii="Calibri" w:hAnsi="Calibri" w:cs="Calibri"/>
                <w:color w:val="000000"/>
                <w:sz w:val="20"/>
                <w:szCs w:val="20"/>
              </w:rPr>
              <w:t>Carburanti</w:t>
            </w:r>
          </w:p>
        </w:tc>
        <w:tc>
          <w:tcPr>
            <w:tcW w:w="2131" w:type="dxa"/>
            <w:tcBorders>
              <w:top w:val="nil"/>
              <w:left w:val="nil"/>
              <w:bottom w:val="nil"/>
              <w:right w:val="nil"/>
            </w:tcBorders>
            <w:shd w:val="clear" w:color="auto" w:fill="auto"/>
            <w:vAlign w:val="center"/>
            <w:hideMark/>
          </w:tcPr>
          <w:p w14:paraId="06087DEC"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5.377</w:t>
            </w:r>
          </w:p>
        </w:tc>
        <w:tc>
          <w:tcPr>
            <w:tcW w:w="2268" w:type="dxa"/>
            <w:tcBorders>
              <w:top w:val="nil"/>
              <w:left w:val="nil"/>
              <w:bottom w:val="nil"/>
              <w:right w:val="single" w:sz="4" w:space="0" w:color="auto"/>
            </w:tcBorders>
            <w:shd w:val="clear" w:color="auto" w:fill="auto"/>
            <w:vAlign w:val="center"/>
            <w:hideMark/>
          </w:tcPr>
          <w:p w14:paraId="0ED370EC"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5.558</w:t>
            </w:r>
          </w:p>
        </w:tc>
      </w:tr>
      <w:tr w:rsidR="006B2E84" w14:paraId="1A0F589A"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6D4814D4" w14:textId="77777777" w:rsidR="006B2E84" w:rsidRDefault="006B2E84">
            <w:pPr>
              <w:rPr>
                <w:rFonts w:ascii="Calibri" w:hAnsi="Calibri" w:cs="Calibri"/>
                <w:color w:val="000000"/>
                <w:sz w:val="20"/>
                <w:szCs w:val="20"/>
              </w:rPr>
            </w:pPr>
            <w:r>
              <w:rPr>
                <w:rFonts w:ascii="Calibri" w:hAnsi="Calibri" w:cs="Calibri"/>
                <w:color w:val="000000"/>
                <w:sz w:val="20"/>
                <w:szCs w:val="20"/>
              </w:rPr>
              <w:t>Pneumatici</w:t>
            </w:r>
          </w:p>
        </w:tc>
        <w:tc>
          <w:tcPr>
            <w:tcW w:w="2131" w:type="dxa"/>
            <w:tcBorders>
              <w:top w:val="nil"/>
              <w:left w:val="nil"/>
              <w:bottom w:val="nil"/>
              <w:right w:val="nil"/>
            </w:tcBorders>
            <w:shd w:val="clear" w:color="auto" w:fill="auto"/>
            <w:vAlign w:val="center"/>
            <w:hideMark/>
          </w:tcPr>
          <w:p w14:paraId="0153F584"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0</w:t>
            </w:r>
          </w:p>
        </w:tc>
        <w:tc>
          <w:tcPr>
            <w:tcW w:w="2268" w:type="dxa"/>
            <w:tcBorders>
              <w:top w:val="nil"/>
              <w:left w:val="nil"/>
              <w:bottom w:val="nil"/>
              <w:right w:val="single" w:sz="4" w:space="0" w:color="auto"/>
            </w:tcBorders>
            <w:shd w:val="clear" w:color="auto" w:fill="auto"/>
            <w:vAlign w:val="center"/>
            <w:hideMark/>
          </w:tcPr>
          <w:p w14:paraId="0CFE7D08"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1</w:t>
            </w:r>
          </w:p>
        </w:tc>
      </w:tr>
      <w:tr w:rsidR="006B2E84" w14:paraId="468CAD48"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59C6CFDE" w14:textId="77777777" w:rsidR="006B2E84" w:rsidRDefault="006B2E84">
            <w:pPr>
              <w:rPr>
                <w:rFonts w:ascii="Calibri" w:hAnsi="Calibri" w:cs="Calibri"/>
                <w:color w:val="000000"/>
                <w:sz w:val="20"/>
                <w:szCs w:val="20"/>
              </w:rPr>
            </w:pPr>
            <w:r>
              <w:rPr>
                <w:rFonts w:ascii="Calibri" w:hAnsi="Calibri" w:cs="Calibri"/>
                <w:color w:val="000000"/>
                <w:sz w:val="20"/>
                <w:szCs w:val="20"/>
              </w:rPr>
              <w:t>Lubrificanti</w:t>
            </w:r>
          </w:p>
        </w:tc>
        <w:tc>
          <w:tcPr>
            <w:tcW w:w="2131" w:type="dxa"/>
            <w:tcBorders>
              <w:top w:val="nil"/>
              <w:left w:val="nil"/>
              <w:bottom w:val="nil"/>
              <w:right w:val="nil"/>
            </w:tcBorders>
            <w:shd w:val="clear" w:color="auto" w:fill="auto"/>
            <w:vAlign w:val="center"/>
            <w:hideMark/>
          </w:tcPr>
          <w:p w14:paraId="3B215785"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153</w:t>
            </w:r>
          </w:p>
        </w:tc>
        <w:tc>
          <w:tcPr>
            <w:tcW w:w="2268" w:type="dxa"/>
            <w:tcBorders>
              <w:top w:val="nil"/>
              <w:left w:val="nil"/>
              <w:bottom w:val="nil"/>
              <w:right w:val="single" w:sz="4" w:space="0" w:color="auto"/>
            </w:tcBorders>
            <w:shd w:val="clear" w:color="auto" w:fill="auto"/>
            <w:vAlign w:val="center"/>
            <w:hideMark/>
          </w:tcPr>
          <w:p w14:paraId="09275FA3"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180</w:t>
            </w:r>
          </w:p>
        </w:tc>
      </w:tr>
      <w:tr w:rsidR="006B2E84" w14:paraId="060DD870"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1DE07E6C" w14:textId="77777777" w:rsidR="006B2E84" w:rsidRDefault="006B2E84">
            <w:pPr>
              <w:rPr>
                <w:rFonts w:ascii="Calibri" w:hAnsi="Calibri" w:cs="Calibri"/>
                <w:color w:val="000000"/>
                <w:sz w:val="20"/>
                <w:szCs w:val="20"/>
              </w:rPr>
            </w:pPr>
            <w:r>
              <w:rPr>
                <w:rFonts w:ascii="Calibri" w:hAnsi="Calibri" w:cs="Calibri"/>
                <w:color w:val="000000"/>
                <w:sz w:val="20"/>
                <w:szCs w:val="20"/>
              </w:rPr>
              <w:t>Batterie</w:t>
            </w:r>
          </w:p>
        </w:tc>
        <w:tc>
          <w:tcPr>
            <w:tcW w:w="2131" w:type="dxa"/>
            <w:tcBorders>
              <w:top w:val="nil"/>
              <w:left w:val="nil"/>
              <w:bottom w:val="nil"/>
              <w:right w:val="nil"/>
            </w:tcBorders>
            <w:shd w:val="clear" w:color="auto" w:fill="auto"/>
            <w:vAlign w:val="center"/>
            <w:hideMark/>
          </w:tcPr>
          <w:p w14:paraId="485EB1DA"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74</w:t>
            </w:r>
          </w:p>
        </w:tc>
        <w:tc>
          <w:tcPr>
            <w:tcW w:w="2268" w:type="dxa"/>
            <w:tcBorders>
              <w:top w:val="nil"/>
              <w:left w:val="nil"/>
              <w:bottom w:val="nil"/>
              <w:right w:val="single" w:sz="4" w:space="0" w:color="auto"/>
            </w:tcBorders>
            <w:shd w:val="clear" w:color="auto" w:fill="auto"/>
            <w:vAlign w:val="center"/>
            <w:hideMark/>
          </w:tcPr>
          <w:p w14:paraId="73D9D002"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76</w:t>
            </w:r>
          </w:p>
        </w:tc>
      </w:tr>
      <w:tr w:rsidR="006B2E84" w14:paraId="7FE34523"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5C34EFF7" w14:textId="77777777" w:rsidR="006B2E84" w:rsidRDefault="006B2E84">
            <w:pPr>
              <w:rPr>
                <w:rFonts w:ascii="Calibri" w:hAnsi="Calibri" w:cs="Calibri"/>
                <w:color w:val="000000"/>
                <w:sz w:val="20"/>
                <w:szCs w:val="20"/>
              </w:rPr>
            </w:pPr>
            <w:r>
              <w:rPr>
                <w:rFonts w:ascii="Calibri" w:hAnsi="Calibri" w:cs="Calibri"/>
                <w:color w:val="000000"/>
                <w:sz w:val="20"/>
                <w:szCs w:val="20"/>
              </w:rPr>
              <w:t>Materiale per armamento</w:t>
            </w:r>
          </w:p>
        </w:tc>
        <w:tc>
          <w:tcPr>
            <w:tcW w:w="2131" w:type="dxa"/>
            <w:tcBorders>
              <w:top w:val="nil"/>
              <w:left w:val="nil"/>
              <w:bottom w:val="nil"/>
              <w:right w:val="nil"/>
            </w:tcBorders>
            <w:shd w:val="clear" w:color="auto" w:fill="auto"/>
            <w:vAlign w:val="center"/>
            <w:hideMark/>
          </w:tcPr>
          <w:p w14:paraId="75E6C82B"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39</w:t>
            </w:r>
          </w:p>
        </w:tc>
        <w:tc>
          <w:tcPr>
            <w:tcW w:w="2268" w:type="dxa"/>
            <w:tcBorders>
              <w:top w:val="nil"/>
              <w:left w:val="nil"/>
              <w:bottom w:val="nil"/>
              <w:right w:val="single" w:sz="4" w:space="0" w:color="auto"/>
            </w:tcBorders>
            <w:shd w:val="clear" w:color="auto" w:fill="auto"/>
            <w:vAlign w:val="center"/>
            <w:hideMark/>
          </w:tcPr>
          <w:p w14:paraId="319A19F9"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2</w:t>
            </w:r>
          </w:p>
        </w:tc>
      </w:tr>
      <w:tr w:rsidR="006B2E84" w14:paraId="2BD42E87"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4CE04E31" w14:textId="77777777" w:rsidR="006B2E84" w:rsidRDefault="006B2E84">
            <w:pPr>
              <w:rPr>
                <w:rFonts w:ascii="Calibri" w:hAnsi="Calibri" w:cs="Calibri"/>
                <w:color w:val="000000"/>
                <w:sz w:val="20"/>
                <w:szCs w:val="20"/>
              </w:rPr>
            </w:pPr>
            <w:r>
              <w:rPr>
                <w:rFonts w:ascii="Calibri" w:hAnsi="Calibri" w:cs="Calibri"/>
                <w:color w:val="000000"/>
                <w:sz w:val="20"/>
                <w:szCs w:val="20"/>
              </w:rPr>
              <w:t>attrezzature di dotazione</w:t>
            </w:r>
          </w:p>
        </w:tc>
        <w:tc>
          <w:tcPr>
            <w:tcW w:w="2131" w:type="dxa"/>
            <w:tcBorders>
              <w:top w:val="nil"/>
              <w:left w:val="nil"/>
              <w:bottom w:val="nil"/>
              <w:right w:val="nil"/>
            </w:tcBorders>
            <w:shd w:val="clear" w:color="auto" w:fill="auto"/>
            <w:vAlign w:val="center"/>
            <w:hideMark/>
          </w:tcPr>
          <w:p w14:paraId="54249F04"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39</w:t>
            </w:r>
          </w:p>
        </w:tc>
        <w:tc>
          <w:tcPr>
            <w:tcW w:w="2268" w:type="dxa"/>
            <w:tcBorders>
              <w:top w:val="nil"/>
              <w:left w:val="nil"/>
              <w:bottom w:val="nil"/>
              <w:right w:val="single" w:sz="4" w:space="0" w:color="auto"/>
            </w:tcBorders>
            <w:shd w:val="clear" w:color="auto" w:fill="auto"/>
            <w:vAlign w:val="center"/>
            <w:hideMark/>
          </w:tcPr>
          <w:p w14:paraId="1BF547E7"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26</w:t>
            </w:r>
          </w:p>
        </w:tc>
      </w:tr>
      <w:tr w:rsidR="006B2E84" w14:paraId="3B17B774"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0609C112" w14:textId="77777777" w:rsidR="006B2E84" w:rsidRDefault="006B2E84">
            <w:pPr>
              <w:rPr>
                <w:rFonts w:ascii="Calibri" w:hAnsi="Calibri" w:cs="Calibri"/>
                <w:color w:val="000000"/>
                <w:sz w:val="20"/>
                <w:szCs w:val="20"/>
              </w:rPr>
            </w:pPr>
            <w:r>
              <w:rPr>
                <w:rFonts w:ascii="Calibri" w:hAnsi="Calibri" w:cs="Calibri"/>
                <w:color w:val="000000"/>
                <w:sz w:val="20"/>
                <w:szCs w:val="20"/>
              </w:rPr>
              <w:t>Vestiario</w:t>
            </w:r>
          </w:p>
        </w:tc>
        <w:tc>
          <w:tcPr>
            <w:tcW w:w="2131" w:type="dxa"/>
            <w:tcBorders>
              <w:top w:val="nil"/>
              <w:left w:val="nil"/>
              <w:bottom w:val="nil"/>
              <w:right w:val="nil"/>
            </w:tcBorders>
            <w:shd w:val="clear" w:color="auto" w:fill="auto"/>
            <w:vAlign w:val="center"/>
            <w:hideMark/>
          </w:tcPr>
          <w:p w14:paraId="3F4082B7"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64</w:t>
            </w:r>
          </w:p>
        </w:tc>
        <w:tc>
          <w:tcPr>
            <w:tcW w:w="2268" w:type="dxa"/>
            <w:tcBorders>
              <w:top w:val="nil"/>
              <w:left w:val="nil"/>
              <w:bottom w:val="nil"/>
              <w:right w:val="single" w:sz="4" w:space="0" w:color="auto"/>
            </w:tcBorders>
            <w:shd w:val="clear" w:color="auto" w:fill="auto"/>
            <w:vAlign w:val="center"/>
            <w:hideMark/>
          </w:tcPr>
          <w:p w14:paraId="28E382A5"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6</w:t>
            </w:r>
          </w:p>
        </w:tc>
      </w:tr>
      <w:tr w:rsidR="006B2E84" w14:paraId="18541305"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17E5A9DF" w14:textId="77777777" w:rsidR="006B2E84" w:rsidRDefault="006B2E84">
            <w:pPr>
              <w:rPr>
                <w:rFonts w:ascii="Calibri" w:hAnsi="Calibri" w:cs="Calibri"/>
                <w:color w:val="000000"/>
                <w:sz w:val="20"/>
                <w:szCs w:val="20"/>
              </w:rPr>
            </w:pPr>
            <w:r>
              <w:rPr>
                <w:rFonts w:ascii="Calibri" w:hAnsi="Calibri" w:cs="Calibri"/>
                <w:color w:val="000000"/>
                <w:sz w:val="20"/>
                <w:szCs w:val="20"/>
              </w:rPr>
              <w:lastRenderedPageBreak/>
              <w:t>Altri materiali</w:t>
            </w:r>
          </w:p>
        </w:tc>
        <w:tc>
          <w:tcPr>
            <w:tcW w:w="2131" w:type="dxa"/>
            <w:tcBorders>
              <w:top w:val="nil"/>
              <w:left w:val="nil"/>
              <w:bottom w:val="nil"/>
              <w:right w:val="nil"/>
            </w:tcBorders>
            <w:shd w:val="clear" w:color="auto" w:fill="auto"/>
            <w:vAlign w:val="center"/>
            <w:hideMark/>
          </w:tcPr>
          <w:p w14:paraId="60B2837C"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1.063</w:t>
            </w:r>
          </w:p>
        </w:tc>
        <w:tc>
          <w:tcPr>
            <w:tcW w:w="2268" w:type="dxa"/>
            <w:tcBorders>
              <w:top w:val="nil"/>
              <w:left w:val="nil"/>
              <w:bottom w:val="nil"/>
              <w:right w:val="single" w:sz="4" w:space="0" w:color="auto"/>
            </w:tcBorders>
            <w:shd w:val="clear" w:color="auto" w:fill="auto"/>
            <w:vAlign w:val="center"/>
            <w:hideMark/>
          </w:tcPr>
          <w:p w14:paraId="3B6B2415"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696</w:t>
            </w:r>
          </w:p>
        </w:tc>
      </w:tr>
      <w:tr w:rsidR="006B2E84" w14:paraId="140B4F54"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6C6A750A" w14:textId="77777777" w:rsidR="006B2E84" w:rsidRDefault="006B2E84">
            <w:pPr>
              <w:rPr>
                <w:rFonts w:ascii="Calibri" w:hAnsi="Calibri" w:cs="Calibri"/>
                <w:color w:val="000000"/>
                <w:sz w:val="20"/>
                <w:szCs w:val="20"/>
              </w:rPr>
            </w:pPr>
            <w:r>
              <w:rPr>
                <w:rFonts w:ascii="Calibri" w:hAnsi="Calibri" w:cs="Calibri"/>
                <w:color w:val="000000"/>
                <w:sz w:val="20"/>
                <w:szCs w:val="20"/>
              </w:rPr>
              <w:t>stampati e cancelleria</w:t>
            </w:r>
          </w:p>
        </w:tc>
        <w:tc>
          <w:tcPr>
            <w:tcW w:w="2131" w:type="dxa"/>
            <w:tcBorders>
              <w:top w:val="nil"/>
              <w:left w:val="nil"/>
              <w:bottom w:val="nil"/>
              <w:right w:val="nil"/>
            </w:tcBorders>
            <w:shd w:val="clear" w:color="auto" w:fill="auto"/>
            <w:vAlign w:val="center"/>
            <w:hideMark/>
          </w:tcPr>
          <w:p w14:paraId="4B18F2C0"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58</w:t>
            </w:r>
          </w:p>
        </w:tc>
        <w:tc>
          <w:tcPr>
            <w:tcW w:w="2268" w:type="dxa"/>
            <w:tcBorders>
              <w:top w:val="nil"/>
              <w:left w:val="nil"/>
              <w:bottom w:val="nil"/>
              <w:right w:val="single" w:sz="4" w:space="0" w:color="auto"/>
            </w:tcBorders>
            <w:shd w:val="clear" w:color="auto" w:fill="auto"/>
            <w:vAlign w:val="center"/>
            <w:hideMark/>
          </w:tcPr>
          <w:p w14:paraId="17257BCE"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51</w:t>
            </w:r>
          </w:p>
        </w:tc>
      </w:tr>
      <w:tr w:rsidR="006B2E84" w14:paraId="2E492304"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10EEF38E" w14:textId="77777777" w:rsidR="006B2E84" w:rsidRDefault="006B2E84">
            <w:pPr>
              <w:rPr>
                <w:rFonts w:ascii="Calibri" w:hAnsi="Calibri" w:cs="Calibri"/>
                <w:color w:val="000000"/>
                <w:sz w:val="20"/>
                <w:szCs w:val="20"/>
              </w:rPr>
            </w:pPr>
            <w:r>
              <w:rPr>
                <w:rFonts w:ascii="Calibri" w:hAnsi="Calibri" w:cs="Calibri"/>
                <w:color w:val="000000"/>
                <w:sz w:val="20"/>
                <w:szCs w:val="20"/>
              </w:rPr>
              <w:t>Spese trasporto e accessorie</w:t>
            </w:r>
          </w:p>
        </w:tc>
        <w:tc>
          <w:tcPr>
            <w:tcW w:w="2131" w:type="dxa"/>
            <w:tcBorders>
              <w:top w:val="nil"/>
              <w:left w:val="nil"/>
              <w:bottom w:val="nil"/>
              <w:right w:val="nil"/>
            </w:tcBorders>
            <w:shd w:val="clear" w:color="auto" w:fill="auto"/>
            <w:vAlign w:val="center"/>
            <w:hideMark/>
          </w:tcPr>
          <w:p w14:paraId="3A023E3E"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2</w:t>
            </w:r>
          </w:p>
        </w:tc>
        <w:tc>
          <w:tcPr>
            <w:tcW w:w="2268" w:type="dxa"/>
            <w:tcBorders>
              <w:top w:val="nil"/>
              <w:left w:val="nil"/>
              <w:bottom w:val="nil"/>
              <w:right w:val="single" w:sz="4" w:space="0" w:color="auto"/>
            </w:tcBorders>
            <w:shd w:val="clear" w:color="auto" w:fill="auto"/>
            <w:vAlign w:val="center"/>
            <w:hideMark/>
          </w:tcPr>
          <w:p w14:paraId="031A9816"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2</w:t>
            </w:r>
          </w:p>
        </w:tc>
      </w:tr>
      <w:tr w:rsidR="006B2E84" w14:paraId="7757305C" w14:textId="77777777" w:rsidTr="006B2E84">
        <w:trPr>
          <w:trHeight w:val="255"/>
        </w:trPr>
        <w:tc>
          <w:tcPr>
            <w:tcW w:w="4106" w:type="dxa"/>
            <w:tcBorders>
              <w:top w:val="nil"/>
              <w:left w:val="single" w:sz="4" w:space="0" w:color="auto"/>
              <w:bottom w:val="nil"/>
              <w:right w:val="nil"/>
            </w:tcBorders>
            <w:shd w:val="clear" w:color="auto" w:fill="auto"/>
            <w:noWrap/>
            <w:vAlign w:val="center"/>
            <w:hideMark/>
          </w:tcPr>
          <w:p w14:paraId="46D10B93" w14:textId="77777777" w:rsidR="006B2E84" w:rsidRDefault="006B2E84">
            <w:pPr>
              <w:rPr>
                <w:rFonts w:ascii="Calibri" w:hAnsi="Calibri" w:cs="Calibri"/>
                <w:color w:val="000000"/>
                <w:sz w:val="20"/>
                <w:szCs w:val="20"/>
              </w:rPr>
            </w:pPr>
            <w:r>
              <w:rPr>
                <w:rFonts w:ascii="Calibri" w:hAnsi="Calibri" w:cs="Calibri"/>
                <w:color w:val="000000"/>
                <w:sz w:val="20"/>
                <w:szCs w:val="20"/>
              </w:rPr>
              <w:t>Trazione energia ramo ferro</w:t>
            </w:r>
          </w:p>
        </w:tc>
        <w:tc>
          <w:tcPr>
            <w:tcW w:w="2131" w:type="dxa"/>
            <w:tcBorders>
              <w:top w:val="nil"/>
              <w:left w:val="nil"/>
              <w:bottom w:val="nil"/>
              <w:right w:val="nil"/>
            </w:tcBorders>
            <w:shd w:val="clear" w:color="auto" w:fill="auto"/>
            <w:vAlign w:val="center"/>
            <w:hideMark/>
          </w:tcPr>
          <w:p w14:paraId="5CB5DCF1"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5.895</w:t>
            </w:r>
          </w:p>
        </w:tc>
        <w:tc>
          <w:tcPr>
            <w:tcW w:w="2268" w:type="dxa"/>
            <w:tcBorders>
              <w:top w:val="nil"/>
              <w:left w:val="nil"/>
              <w:bottom w:val="nil"/>
              <w:right w:val="single" w:sz="4" w:space="0" w:color="auto"/>
            </w:tcBorders>
            <w:shd w:val="clear" w:color="auto" w:fill="auto"/>
            <w:vAlign w:val="center"/>
            <w:hideMark/>
          </w:tcPr>
          <w:p w14:paraId="47EA01E3"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6.054</w:t>
            </w:r>
          </w:p>
        </w:tc>
      </w:tr>
      <w:tr w:rsidR="006B2E84" w14:paraId="406D4781" w14:textId="77777777" w:rsidTr="006B2E84">
        <w:trPr>
          <w:trHeight w:val="255"/>
        </w:trPr>
        <w:tc>
          <w:tcPr>
            <w:tcW w:w="4106" w:type="dxa"/>
            <w:tcBorders>
              <w:top w:val="nil"/>
              <w:left w:val="single" w:sz="4" w:space="0" w:color="auto"/>
              <w:bottom w:val="single" w:sz="4" w:space="0" w:color="auto"/>
              <w:right w:val="nil"/>
            </w:tcBorders>
            <w:shd w:val="clear" w:color="auto" w:fill="auto"/>
            <w:noWrap/>
            <w:vAlign w:val="center"/>
            <w:hideMark/>
          </w:tcPr>
          <w:p w14:paraId="66E743E3" w14:textId="77777777" w:rsidR="006B2E84" w:rsidRDefault="006B2E84">
            <w:pPr>
              <w:rPr>
                <w:rFonts w:ascii="Calibri" w:hAnsi="Calibri" w:cs="Calibri"/>
                <w:color w:val="000000"/>
                <w:sz w:val="20"/>
                <w:szCs w:val="20"/>
              </w:rPr>
            </w:pPr>
            <w:r>
              <w:rPr>
                <w:rFonts w:ascii="Calibri" w:hAnsi="Calibri" w:cs="Calibri"/>
                <w:color w:val="000000"/>
                <w:sz w:val="20"/>
                <w:szCs w:val="20"/>
              </w:rPr>
              <w:t>Metano per trazione</w:t>
            </w:r>
          </w:p>
        </w:tc>
        <w:tc>
          <w:tcPr>
            <w:tcW w:w="2131" w:type="dxa"/>
            <w:tcBorders>
              <w:top w:val="nil"/>
              <w:left w:val="nil"/>
              <w:bottom w:val="single" w:sz="4" w:space="0" w:color="auto"/>
              <w:right w:val="nil"/>
            </w:tcBorders>
            <w:shd w:val="clear" w:color="auto" w:fill="auto"/>
            <w:vAlign w:val="center"/>
            <w:hideMark/>
          </w:tcPr>
          <w:p w14:paraId="51244F14"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505</w:t>
            </w:r>
          </w:p>
        </w:tc>
        <w:tc>
          <w:tcPr>
            <w:tcW w:w="2268" w:type="dxa"/>
            <w:tcBorders>
              <w:top w:val="nil"/>
              <w:left w:val="nil"/>
              <w:bottom w:val="single" w:sz="4" w:space="0" w:color="auto"/>
              <w:right w:val="single" w:sz="4" w:space="0" w:color="auto"/>
            </w:tcBorders>
            <w:shd w:val="clear" w:color="auto" w:fill="auto"/>
            <w:vAlign w:val="center"/>
            <w:hideMark/>
          </w:tcPr>
          <w:p w14:paraId="78FA9684" w14:textId="77777777" w:rsidR="006B2E84" w:rsidRDefault="006B2E84">
            <w:pPr>
              <w:jc w:val="right"/>
              <w:rPr>
                <w:rFonts w:ascii="Calibri" w:hAnsi="Calibri" w:cs="Calibri"/>
                <w:color w:val="000000"/>
                <w:sz w:val="20"/>
                <w:szCs w:val="20"/>
              </w:rPr>
            </w:pPr>
            <w:r>
              <w:rPr>
                <w:rFonts w:ascii="Calibri" w:hAnsi="Calibri" w:cs="Calibri"/>
                <w:color w:val="000000"/>
                <w:sz w:val="20"/>
                <w:szCs w:val="20"/>
              </w:rPr>
              <w:t>593</w:t>
            </w:r>
          </w:p>
        </w:tc>
      </w:tr>
    </w:tbl>
    <w:p w14:paraId="3B5CFBF3" w14:textId="77777777" w:rsidR="00A60FCF" w:rsidRPr="00A60FCF" w:rsidRDefault="006B2E84" w:rsidP="002D4D1D">
      <w:pPr>
        <w:widowControl w:val="0"/>
        <w:tabs>
          <w:tab w:val="left" w:pos="204"/>
        </w:tabs>
        <w:spacing w:before="120" w:after="120"/>
        <w:jc w:val="both"/>
        <w:rPr>
          <w:rFonts w:ascii="Arial" w:hAnsi="Arial" w:cs="Arial"/>
          <w:snapToGrid w:val="0"/>
          <w:sz w:val="20"/>
        </w:rPr>
      </w:pPr>
      <w:r>
        <w:rPr>
          <w:rFonts w:ascii="Arial" w:hAnsi="Arial" w:cs="Arial"/>
          <w:snapToGrid w:val="0"/>
          <w:sz w:val="20"/>
        </w:rPr>
        <w:t xml:space="preserve">Gli importi più rilevanti sono riconducibili alle spese per </w:t>
      </w:r>
      <w:r w:rsidR="004A382E" w:rsidRPr="00A60FCF">
        <w:rPr>
          <w:rFonts w:ascii="Arial" w:hAnsi="Arial" w:cs="Arial"/>
          <w:snapToGrid w:val="0"/>
          <w:sz w:val="20"/>
        </w:rPr>
        <w:t xml:space="preserve">carburante e </w:t>
      </w:r>
      <w:r>
        <w:rPr>
          <w:rFonts w:ascii="Arial" w:hAnsi="Arial" w:cs="Arial"/>
          <w:snapToGrid w:val="0"/>
          <w:sz w:val="20"/>
        </w:rPr>
        <w:t xml:space="preserve">per </w:t>
      </w:r>
      <w:r w:rsidR="004A382E" w:rsidRPr="00A60FCF">
        <w:rPr>
          <w:rFonts w:ascii="Arial" w:hAnsi="Arial" w:cs="Arial"/>
          <w:snapToGrid w:val="0"/>
          <w:sz w:val="20"/>
        </w:rPr>
        <w:t>energia per trazione</w:t>
      </w:r>
      <w:r w:rsidR="00EE4AF0" w:rsidRPr="00A60FCF">
        <w:rPr>
          <w:rFonts w:ascii="Arial" w:hAnsi="Arial" w:cs="Arial"/>
          <w:snapToGrid w:val="0"/>
          <w:sz w:val="20"/>
        </w:rPr>
        <w:t xml:space="preserve">. </w:t>
      </w:r>
    </w:p>
    <w:p w14:paraId="793A7C2E" w14:textId="14811EED" w:rsidR="00EE4AF0" w:rsidRDefault="00EE4AF0" w:rsidP="002D4D1D">
      <w:pPr>
        <w:widowControl w:val="0"/>
        <w:tabs>
          <w:tab w:val="left" w:pos="204"/>
        </w:tabs>
        <w:spacing w:before="120" w:after="120"/>
        <w:jc w:val="both"/>
        <w:rPr>
          <w:rFonts w:ascii="Arial" w:hAnsi="Arial" w:cs="Arial"/>
          <w:b/>
          <w:snapToGrid w:val="0"/>
          <w:sz w:val="20"/>
        </w:rPr>
      </w:pPr>
      <w:r w:rsidRPr="00A60FCF">
        <w:rPr>
          <w:rFonts w:ascii="Arial" w:hAnsi="Arial" w:cs="Arial"/>
          <w:b/>
          <w:snapToGrid w:val="0"/>
          <w:sz w:val="20"/>
        </w:rPr>
        <w:t>Per servizi</w:t>
      </w:r>
    </w:p>
    <w:p w14:paraId="388C1EEC" w14:textId="65D09D38" w:rsidR="00D65236" w:rsidRPr="008B3BFA" w:rsidRDefault="00D65236" w:rsidP="008B3BFA">
      <w:pPr>
        <w:widowControl w:val="0"/>
        <w:spacing w:before="120" w:after="120"/>
        <w:jc w:val="both"/>
        <w:rPr>
          <w:rFonts w:ascii="Arial" w:hAnsi="Arial" w:cs="Arial"/>
          <w:i/>
          <w:iCs/>
          <w:snapToGrid w:val="0"/>
          <w:sz w:val="18"/>
          <w:szCs w:val="18"/>
        </w:rPr>
      </w:pPr>
      <w:r w:rsidRPr="008B3BFA">
        <w:rPr>
          <w:rFonts w:ascii="Arial" w:hAnsi="Arial" w:cs="Arial"/>
          <w:i/>
          <w:iCs/>
          <w:snapToGrid w:val="0"/>
          <w:sz w:val="18"/>
          <w:szCs w:val="18"/>
        </w:rPr>
        <w:t>Euro/000</w:t>
      </w:r>
    </w:p>
    <w:p w14:paraId="44602246" w14:textId="50C801B2" w:rsidR="00AF0FA0" w:rsidRDefault="00CE6109" w:rsidP="002D4D1D">
      <w:pPr>
        <w:widowControl w:val="0"/>
        <w:tabs>
          <w:tab w:val="left" w:pos="204"/>
        </w:tabs>
        <w:spacing w:before="120" w:after="120"/>
        <w:jc w:val="both"/>
        <w:rPr>
          <w:rFonts w:ascii="Arial" w:hAnsi="Arial" w:cs="Arial"/>
          <w:snapToGrid w:val="0"/>
          <w:sz w:val="20"/>
        </w:rPr>
      </w:pPr>
      <w:r>
        <w:rPr>
          <w:noProof/>
        </w:rPr>
        <w:drawing>
          <wp:inline distT="0" distB="0" distL="0" distR="0" wp14:anchorId="11B39911" wp14:editId="5FAB7C2F">
            <wp:extent cx="5391150" cy="904875"/>
            <wp:effectExtent l="0" t="0" r="0"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904875"/>
                    </a:xfrm>
                    <a:prstGeom prst="rect">
                      <a:avLst/>
                    </a:prstGeom>
                    <a:noFill/>
                    <a:ln>
                      <a:noFill/>
                    </a:ln>
                  </pic:spPr>
                </pic:pic>
              </a:graphicData>
            </a:graphic>
          </wp:inline>
        </w:drawing>
      </w:r>
    </w:p>
    <w:p w14:paraId="370FB398" w14:textId="64E97158" w:rsidR="00114781" w:rsidRDefault="00725464" w:rsidP="002D4D1D">
      <w:pPr>
        <w:widowControl w:val="0"/>
        <w:tabs>
          <w:tab w:val="left" w:pos="204"/>
        </w:tabs>
        <w:spacing w:before="120" w:after="120"/>
        <w:jc w:val="both"/>
        <w:rPr>
          <w:rFonts w:ascii="Arial" w:hAnsi="Arial" w:cs="Arial"/>
          <w:snapToGrid w:val="0"/>
          <w:sz w:val="20"/>
        </w:rPr>
      </w:pPr>
      <w:r>
        <w:rPr>
          <w:rFonts w:ascii="Arial" w:hAnsi="Arial" w:cs="Arial"/>
          <w:snapToGrid w:val="0"/>
          <w:sz w:val="20"/>
        </w:rPr>
        <w:t>La voce costi per servizi rileva</w:t>
      </w:r>
      <w:r w:rsidR="00E42D40" w:rsidRPr="00E42D40">
        <w:rPr>
          <w:rFonts w:ascii="Arial" w:hAnsi="Arial" w:cs="Arial"/>
          <w:snapToGrid w:val="0"/>
          <w:sz w:val="20"/>
        </w:rPr>
        <w:t xml:space="preserve"> tutti i costi certi, derivanti dall'acquisizione di servizi strumentali all'esercizio dell'attività </w:t>
      </w:r>
      <w:r w:rsidR="00E42D40">
        <w:rPr>
          <w:rFonts w:ascii="Arial" w:hAnsi="Arial" w:cs="Arial"/>
          <w:snapToGrid w:val="0"/>
          <w:sz w:val="20"/>
        </w:rPr>
        <w:t xml:space="preserve">ordinaria del gruppo. </w:t>
      </w:r>
      <w:r w:rsidR="00C03B1A" w:rsidRPr="00C03B1A">
        <w:rPr>
          <w:rFonts w:ascii="Arial" w:hAnsi="Arial" w:cs="Arial"/>
          <w:snapToGrid w:val="0"/>
          <w:sz w:val="20"/>
        </w:rPr>
        <w:t xml:space="preserve">Gli importi e le variazioni più significative sono quasi </w:t>
      </w:r>
      <w:r w:rsidR="008762F6" w:rsidRPr="00C03B1A">
        <w:rPr>
          <w:rFonts w:ascii="Arial" w:hAnsi="Arial" w:cs="Arial"/>
          <w:snapToGrid w:val="0"/>
          <w:sz w:val="20"/>
        </w:rPr>
        <w:t>integralmente ascrivibili alla controllata ANM</w:t>
      </w:r>
      <w:r w:rsidR="00B15F88">
        <w:rPr>
          <w:rFonts w:ascii="Arial" w:hAnsi="Arial" w:cs="Arial"/>
          <w:snapToGrid w:val="0"/>
          <w:sz w:val="20"/>
        </w:rPr>
        <w:t xml:space="preserve">, </w:t>
      </w:r>
      <w:r w:rsidR="00C03B1A">
        <w:rPr>
          <w:rFonts w:ascii="Arial" w:hAnsi="Arial" w:cs="Arial"/>
          <w:snapToGrid w:val="0"/>
          <w:sz w:val="20"/>
        </w:rPr>
        <w:t>di cui si evidenzia</w:t>
      </w:r>
      <w:r w:rsidR="008762F6" w:rsidRPr="00C03B1A">
        <w:rPr>
          <w:rFonts w:ascii="Arial" w:hAnsi="Arial" w:cs="Arial"/>
          <w:snapToGrid w:val="0"/>
          <w:sz w:val="20"/>
        </w:rPr>
        <w:t>:</w:t>
      </w:r>
    </w:p>
    <w:p w14:paraId="706991BA" w14:textId="77777777" w:rsidR="00B15F88" w:rsidRPr="00B15F88" w:rsidRDefault="00B15F88" w:rsidP="00B15F88">
      <w:pPr>
        <w:widowControl w:val="0"/>
        <w:numPr>
          <w:ilvl w:val="0"/>
          <w:numId w:val="31"/>
        </w:numPr>
        <w:tabs>
          <w:tab w:val="left" w:pos="204"/>
        </w:tabs>
        <w:spacing w:before="120" w:after="120"/>
        <w:jc w:val="both"/>
        <w:rPr>
          <w:rFonts w:ascii="Arial" w:hAnsi="Arial" w:cs="Arial"/>
          <w:snapToGrid w:val="0"/>
          <w:sz w:val="20"/>
        </w:rPr>
      </w:pPr>
      <w:r w:rsidRPr="00B15F88">
        <w:rPr>
          <w:rFonts w:ascii="Arial" w:hAnsi="Arial" w:cs="Arial"/>
          <w:snapToGrid w:val="0"/>
          <w:sz w:val="20"/>
        </w:rPr>
        <w:t xml:space="preserve">i premi del comparto assicurativo (5.446 €/000), per cui si registra un ulteriore risparmio, anche in questo esercizio di circa €/milioni 1; </w:t>
      </w:r>
    </w:p>
    <w:p w14:paraId="1D087FAA" w14:textId="77777777" w:rsidR="00B15F88" w:rsidRPr="00B15F88" w:rsidRDefault="00B15F88" w:rsidP="00B15F88">
      <w:pPr>
        <w:widowControl w:val="0"/>
        <w:numPr>
          <w:ilvl w:val="0"/>
          <w:numId w:val="31"/>
        </w:numPr>
        <w:tabs>
          <w:tab w:val="left" w:pos="204"/>
        </w:tabs>
        <w:spacing w:before="120" w:after="120"/>
        <w:jc w:val="both"/>
        <w:rPr>
          <w:rFonts w:ascii="Arial" w:hAnsi="Arial" w:cs="Arial"/>
          <w:snapToGrid w:val="0"/>
          <w:sz w:val="20"/>
        </w:rPr>
      </w:pPr>
      <w:r w:rsidRPr="00B15F88">
        <w:rPr>
          <w:rFonts w:ascii="Arial" w:hAnsi="Arial" w:cs="Arial"/>
          <w:snapToGrid w:val="0"/>
          <w:sz w:val="20"/>
        </w:rPr>
        <w:t xml:space="preserve">i costi di gestione per la partecipazione al Consorzio Unicocampania (1.677 €/000) calcolato per la sola partecipazione alla vendita dei TIC; </w:t>
      </w:r>
    </w:p>
    <w:p w14:paraId="6A16503B" w14:textId="77777777" w:rsidR="00B15F88" w:rsidRPr="00B15F88" w:rsidRDefault="00B15F88" w:rsidP="00B15F88">
      <w:pPr>
        <w:widowControl w:val="0"/>
        <w:numPr>
          <w:ilvl w:val="0"/>
          <w:numId w:val="31"/>
        </w:numPr>
        <w:tabs>
          <w:tab w:val="left" w:pos="204"/>
        </w:tabs>
        <w:spacing w:before="120" w:after="120"/>
        <w:jc w:val="both"/>
        <w:rPr>
          <w:rFonts w:ascii="Arial" w:hAnsi="Arial" w:cs="Arial"/>
          <w:snapToGrid w:val="0"/>
          <w:sz w:val="20"/>
        </w:rPr>
      </w:pPr>
      <w:r w:rsidRPr="00B15F88">
        <w:rPr>
          <w:rFonts w:ascii="Arial" w:hAnsi="Arial" w:cs="Arial"/>
          <w:snapToGrid w:val="0"/>
          <w:sz w:val="20"/>
        </w:rPr>
        <w:t xml:space="preserve">i costi per appalti pulizia, pari a 6.517 €/000; </w:t>
      </w:r>
    </w:p>
    <w:p w14:paraId="7510DF77" w14:textId="77777777" w:rsidR="00B15F88" w:rsidRPr="00B15F88" w:rsidRDefault="00B15F88" w:rsidP="00B15F88">
      <w:pPr>
        <w:widowControl w:val="0"/>
        <w:numPr>
          <w:ilvl w:val="0"/>
          <w:numId w:val="31"/>
        </w:numPr>
        <w:tabs>
          <w:tab w:val="left" w:pos="204"/>
        </w:tabs>
        <w:spacing w:before="120" w:after="120"/>
        <w:jc w:val="both"/>
        <w:rPr>
          <w:rFonts w:ascii="Arial" w:hAnsi="Arial" w:cs="Arial"/>
          <w:snapToGrid w:val="0"/>
          <w:sz w:val="20"/>
        </w:rPr>
      </w:pPr>
      <w:r w:rsidRPr="00B15F88">
        <w:rPr>
          <w:rFonts w:ascii="Arial" w:hAnsi="Arial" w:cs="Arial"/>
          <w:snapToGrid w:val="0"/>
          <w:sz w:val="20"/>
        </w:rPr>
        <w:t>i costi per la movimentazione veicoli, pari a 898 €/000.</w:t>
      </w:r>
    </w:p>
    <w:p w14:paraId="2359D7FC" w14:textId="77777777" w:rsidR="00B15F88" w:rsidRPr="00B15F88" w:rsidRDefault="00B15F88" w:rsidP="00B15F88">
      <w:pPr>
        <w:widowControl w:val="0"/>
        <w:numPr>
          <w:ilvl w:val="0"/>
          <w:numId w:val="31"/>
        </w:numPr>
        <w:tabs>
          <w:tab w:val="left" w:pos="204"/>
        </w:tabs>
        <w:spacing w:before="120" w:after="120"/>
        <w:jc w:val="both"/>
        <w:rPr>
          <w:rFonts w:ascii="Arial" w:hAnsi="Arial" w:cs="Arial"/>
          <w:snapToGrid w:val="0"/>
          <w:sz w:val="20"/>
        </w:rPr>
      </w:pPr>
      <w:r w:rsidRPr="00B15F88">
        <w:rPr>
          <w:rFonts w:ascii="Arial" w:hAnsi="Arial" w:cs="Arial"/>
          <w:snapToGrid w:val="0"/>
          <w:sz w:val="20"/>
        </w:rPr>
        <w:t>I costi per buoni pasto che ammontano a 2.187 €/000.</w:t>
      </w:r>
    </w:p>
    <w:p w14:paraId="48BFACD9" w14:textId="77777777" w:rsidR="00B15F88" w:rsidRPr="00B15F88" w:rsidRDefault="00B15F88" w:rsidP="00B15F88">
      <w:pPr>
        <w:widowControl w:val="0"/>
        <w:tabs>
          <w:tab w:val="left" w:pos="204"/>
        </w:tabs>
        <w:spacing w:before="120" w:after="120"/>
        <w:jc w:val="both"/>
        <w:rPr>
          <w:rFonts w:ascii="Arial" w:hAnsi="Arial" w:cs="Arial"/>
          <w:snapToGrid w:val="0"/>
          <w:sz w:val="20"/>
        </w:rPr>
      </w:pPr>
      <w:r w:rsidRPr="00B15F88">
        <w:rPr>
          <w:rFonts w:ascii="Arial" w:hAnsi="Arial" w:cs="Arial"/>
          <w:snapToGrid w:val="0"/>
          <w:sz w:val="20"/>
        </w:rPr>
        <w:t>Più alti i costi sostenuti per gli interventi manutentivi effettuati in particolare sulle infrastrutture ed impianti aziendali (7.557 €/000) a cui si aggiungono manutenzioni straordinarie su beni del Comune da riaddebitare (3.046 €/000).</w:t>
      </w:r>
    </w:p>
    <w:p w14:paraId="7C56D38D" w14:textId="29D4D89A" w:rsidR="00E42D40" w:rsidRPr="00E42D40" w:rsidRDefault="00B15F88" w:rsidP="00E42D40">
      <w:pPr>
        <w:widowControl w:val="0"/>
        <w:tabs>
          <w:tab w:val="left" w:pos="204"/>
        </w:tabs>
        <w:spacing w:before="120" w:after="120"/>
        <w:jc w:val="both"/>
        <w:rPr>
          <w:rFonts w:ascii="Arial" w:hAnsi="Arial" w:cs="Arial"/>
          <w:snapToGrid w:val="0"/>
          <w:sz w:val="20"/>
        </w:rPr>
      </w:pPr>
      <w:r w:rsidRPr="00E42D40">
        <w:rPr>
          <w:rFonts w:ascii="Arial" w:hAnsi="Arial" w:cs="Arial"/>
          <w:snapToGrid w:val="0"/>
          <w:sz w:val="20"/>
        </w:rPr>
        <w:t>Inoltre,</w:t>
      </w:r>
      <w:r w:rsidR="00E42D40" w:rsidRPr="00E42D40">
        <w:rPr>
          <w:rFonts w:ascii="Arial" w:hAnsi="Arial" w:cs="Arial"/>
          <w:snapToGrid w:val="0"/>
          <w:sz w:val="20"/>
        </w:rPr>
        <w:t xml:space="preserve"> il costo del Consiglio di amministrazione è stato pari a 5</w:t>
      </w:r>
      <w:r w:rsidR="0055317E">
        <w:rPr>
          <w:rFonts w:ascii="Arial" w:hAnsi="Arial" w:cs="Arial"/>
          <w:snapToGrid w:val="0"/>
          <w:sz w:val="20"/>
        </w:rPr>
        <w:t>3</w:t>
      </w:r>
      <w:r w:rsidR="00E42D40" w:rsidRPr="00E42D40">
        <w:rPr>
          <w:rFonts w:ascii="Arial" w:hAnsi="Arial" w:cs="Arial"/>
          <w:snapToGrid w:val="0"/>
          <w:sz w:val="20"/>
        </w:rPr>
        <w:t xml:space="preserve"> €/000</w:t>
      </w:r>
      <w:r w:rsidR="00E42D40">
        <w:rPr>
          <w:rFonts w:ascii="Arial" w:hAnsi="Arial" w:cs="Arial"/>
          <w:snapToGrid w:val="0"/>
          <w:sz w:val="20"/>
        </w:rPr>
        <w:t xml:space="preserve"> per ANM ed euro </w:t>
      </w:r>
      <w:r w:rsidR="0046507E">
        <w:rPr>
          <w:rFonts w:ascii="Arial" w:hAnsi="Arial" w:cs="Arial"/>
          <w:snapToGrid w:val="0"/>
          <w:sz w:val="20"/>
        </w:rPr>
        <w:t>50</w:t>
      </w:r>
      <w:r w:rsidR="00E42D40" w:rsidRPr="00E42D40">
        <w:rPr>
          <w:rFonts w:ascii="Arial" w:hAnsi="Arial" w:cs="Arial"/>
          <w:snapToGrid w:val="0"/>
          <w:sz w:val="20"/>
        </w:rPr>
        <w:t xml:space="preserve"> €/000</w:t>
      </w:r>
      <w:r w:rsidR="00E42D40">
        <w:rPr>
          <w:rFonts w:ascii="Arial" w:hAnsi="Arial" w:cs="Arial"/>
          <w:snapToGrid w:val="0"/>
          <w:sz w:val="20"/>
        </w:rPr>
        <w:t xml:space="preserve"> per Napoli Holding</w:t>
      </w:r>
      <w:r w:rsidR="00E42D40" w:rsidRPr="00E42D40">
        <w:rPr>
          <w:rFonts w:ascii="Arial" w:hAnsi="Arial" w:cs="Arial"/>
          <w:snapToGrid w:val="0"/>
          <w:sz w:val="20"/>
        </w:rPr>
        <w:t xml:space="preserve">; quello per il Collegio sindacale </w:t>
      </w:r>
      <w:r w:rsidR="00E42D40">
        <w:rPr>
          <w:rFonts w:ascii="Arial" w:hAnsi="Arial" w:cs="Arial"/>
          <w:snapToGrid w:val="0"/>
          <w:sz w:val="20"/>
        </w:rPr>
        <w:t xml:space="preserve">pari </w:t>
      </w:r>
      <w:r w:rsidR="00E42D40" w:rsidRPr="00E42D40">
        <w:rPr>
          <w:rFonts w:ascii="Arial" w:hAnsi="Arial" w:cs="Arial"/>
          <w:snapToGrid w:val="0"/>
          <w:sz w:val="20"/>
        </w:rPr>
        <w:t>a 80 €/000</w:t>
      </w:r>
      <w:r w:rsidR="00E42D40">
        <w:rPr>
          <w:rFonts w:ascii="Arial" w:hAnsi="Arial" w:cs="Arial"/>
          <w:snapToGrid w:val="0"/>
          <w:sz w:val="20"/>
        </w:rPr>
        <w:t xml:space="preserve"> per ANM e </w:t>
      </w:r>
      <w:r>
        <w:rPr>
          <w:rFonts w:ascii="Arial" w:hAnsi="Arial" w:cs="Arial"/>
          <w:snapToGrid w:val="0"/>
          <w:sz w:val="20"/>
        </w:rPr>
        <w:t>4</w:t>
      </w:r>
      <w:r w:rsidR="00E42D40">
        <w:rPr>
          <w:rFonts w:ascii="Arial" w:hAnsi="Arial" w:cs="Arial"/>
          <w:snapToGrid w:val="0"/>
          <w:sz w:val="20"/>
        </w:rPr>
        <w:t>7</w:t>
      </w:r>
      <w:r w:rsidR="00E42D40" w:rsidRPr="00E42D40">
        <w:rPr>
          <w:rFonts w:ascii="Arial" w:hAnsi="Arial" w:cs="Arial"/>
          <w:snapToGrid w:val="0"/>
          <w:sz w:val="20"/>
        </w:rPr>
        <w:t xml:space="preserve"> €/000 </w:t>
      </w:r>
      <w:r w:rsidR="00E42D40">
        <w:rPr>
          <w:rFonts w:ascii="Arial" w:hAnsi="Arial" w:cs="Arial"/>
          <w:snapToGrid w:val="0"/>
          <w:sz w:val="20"/>
        </w:rPr>
        <w:t>per Napoli Holding</w:t>
      </w:r>
      <w:r w:rsidR="00E42D40" w:rsidRPr="00E42D40">
        <w:rPr>
          <w:rFonts w:ascii="Arial" w:hAnsi="Arial" w:cs="Arial"/>
          <w:snapToGrid w:val="0"/>
          <w:sz w:val="20"/>
        </w:rPr>
        <w:t>; per</w:t>
      </w:r>
      <w:r w:rsidR="00E42D40">
        <w:rPr>
          <w:rFonts w:ascii="Arial" w:hAnsi="Arial" w:cs="Arial"/>
          <w:snapToGrid w:val="0"/>
          <w:sz w:val="20"/>
        </w:rPr>
        <w:t xml:space="preserve"> incarichi società di revisione pari a </w:t>
      </w:r>
      <w:r w:rsidR="006F34E4">
        <w:rPr>
          <w:rFonts w:ascii="Arial" w:hAnsi="Arial" w:cs="Arial"/>
          <w:snapToGrid w:val="0"/>
          <w:sz w:val="20"/>
        </w:rPr>
        <w:t>5</w:t>
      </w:r>
      <w:r w:rsidR="0055317E">
        <w:rPr>
          <w:rFonts w:ascii="Arial" w:hAnsi="Arial" w:cs="Arial"/>
          <w:snapToGrid w:val="0"/>
          <w:sz w:val="20"/>
        </w:rPr>
        <w:t>5</w:t>
      </w:r>
      <w:r w:rsidR="00E42D40" w:rsidRPr="00E42D40">
        <w:rPr>
          <w:rFonts w:ascii="Arial" w:hAnsi="Arial" w:cs="Arial"/>
          <w:snapToGrid w:val="0"/>
          <w:sz w:val="20"/>
        </w:rPr>
        <w:t xml:space="preserve"> €/000</w:t>
      </w:r>
      <w:r w:rsidR="00E42D40">
        <w:rPr>
          <w:rFonts w:ascii="Arial" w:hAnsi="Arial" w:cs="Arial"/>
          <w:snapToGrid w:val="0"/>
          <w:sz w:val="20"/>
        </w:rPr>
        <w:t xml:space="preserve"> per ANM </w:t>
      </w:r>
      <w:r>
        <w:rPr>
          <w:rFonts w:ascii="Arial" w:hAnsi="Arial" w:cs="Arial"/>
          <w:snapToGrid w:val="0"/>
          <w:sz w:val="20"/>
        </w:rPr>
        <w:t xml:space="preserve">ed </w:t>
      </w:r>
      <w:r w:rsidRPr="00E42D40">
        <w:rPr>
          <w:rFonts w:ascii="Arial" w:hAnsi="Arial" w:cs="Arial"/>
          <w:snapToGrid w:val="0"/>
          <w:sz w:val="20"/>
        </w:rPr>
        <w:t>a</w:t>
      </w:r>
      <w:r w:rsidR="00E42D40">
        <w:rPr>
          <w:rFonts w:ascii="Arial" w:hAnsi="Arial" w:cs="Arial"/>
          <w:snapToGrid w:val="0"/>
          <w:sz w:val="20"/>
        </w:rPr>
        <w:t xml:space="preserve"> </w:t>
      </w:r>
      <w:r>
        <w:rPr>
          <w:rFonts w:ascii="Arial" w:hAnsi="Arial" w:cs="Arial"/>
          <w:snapToGrid w:val="0"/>
          <w:sz w:val="20"/>
        </w:rPr>
        <w:t>30</w:t>
      </w:r>
      <w:r w:rsidR="00E42D40">
        <w:rPr>
          <w:rFonts w:ascii="Arial" w:hAnsi="Arial" w:cs="Arial"/>
          <w:snapToGrid w:val="0"/>
          <w:sz w:val="20"/>
        </w:rPr>
        <w:t xml:space="preserve"> </w:t>
      </w:r>
      <w:r w:rsidR="00E42D40" w:rsidRPr="00E42D40">
        <w:rPr>
          <w:rFonts w:ascii="Arial" w:hAnsi="Arial" w:cs="Arial"/>
          <w:snapToGrid w:val="0"/>
          <w:sz w:val="20"/>
        </w:rPr>
        <w:t>€/000</w:t>
      </w:r>
      <w:r w:rsidR="00E42D40">
        <w:rPr>
          <w:rFonts w:ascii="Arial" w:hAnsi="Arial" w:cs="Arial"/>
          <w:snapToGrid w:val="0"/>
          <w:sz w:val="20"/>
        </w:rPr>
        <w:t xml:space="preserve"> per Napoli Holding</w:t>
      </w:r>
      <w:r w:rsidR="00E42D40" w:rsidRPr="00E42D40">
        <w:rPr>
          <w:rFonts w:ascii="Arial" w:hAnsi="Arial" w:cs="Arial"/>
          <w:snapToGrid w:val="0"/>
          <w:sz w:val="20"/>
        </w:rPr>
        <w:t xml:space="preserve">. Si segnala il costo </w:t>
      </w:r>
      <w:r w:rsidR="00E42D40">
        <w:rPr>
          <w:rFonts w:ascii="Arial" w:hAnsi="Arial" w:cs="Arial"/>
          <w:snapToGrid w:val="0"/>
          <w:sz w:val="20"/>
        </w:rPr>
        <w:t xml:space="preserve">di ANM </w:t>
      </w:r>
      <w:r w:rsidR="00E42D40" w:rsidRPr="00E42D40">
        <w:rPr>
          <w:rFonts w:ascii="Arial" w:hAnsi="Arial" w:cs="Arial"/>
          <w:snapToGrid w:val="0"/>
          <w:sz w:val="20"/>
        </w:rPr>
        <w:t>per aggio</w:t>
      </w:r>
      <w:r w:rsidR="00E42D40">
        <w:rPr>
          <w:rFonts w:ascii="Arial" w:hAnsi="Arial" w:cs="Arial"/>
          <w:snapToGrid w:val="0"/>
          <w:sz w:val="20"/>
        </w:rPr>
        <w:t xml:space="preserve"> </w:t>
      </w:r>
      <w:r w:rsidR="00E42D40" w:rsidRPr="00E42D40">
        <w:rPr>
          <w:rFonts w:ascii="Arial" w:hAnsi="Arial" w:cs="Arial"/>
          <w:snapToGrid w:val="0"/>
          <w:sz w:val="20"/>
        </w:rPr>
        <w:t xml:space="preserve">calcolato sulla vendita diretta titoli di viaggio </w:t>
      </w:r>
      <w:r w:rsidR="0055317E" w:rsidRPr="0055317E">
        <w:rPr>
          <w:rFonts w:ascii="Arial" w:hAnsi="Arial" w:cs="Arial"/>
          <w:snapToGrid w:val="0"/>
          <w:sz w:val="20"/>
        </w:rPr>
        <w:t>pari a 2.</w:t>
      </w:r>
      <w:r>
        <w:rPr>
          <w:rFonts w:ascii="Arial" w:hAnsi="Arial" w:cs="Arial"/>
          <w:snapToGrid w:val="0"/>
          <w:sz w:val="20"/>
        </w:rPr>
        <w:t>253</w:t>
      </w:r>
      <w:r w:rsidR="0055317E" w:rsidRPr="0055317E">
        <w:rPr>
          <w:rFonts w:ascii="Arial" w:hAnsi="Arial" w:cs="Arial"/>
          <w:snapToGrid w:val="0"/>
          <w:sz w:val="20"/>
        </w:rPr>
        <w:t xml:space="preserve"> €/000</w:t>
      </w:r>
      <w:r w:rsidR="00E42D40" w:rsidRPr="00E42D40">
        <w:rPr>
          <w:rFonts w:ascii="Arial" w:hAnsi="Arial" w:cs="Arial"/>
          <w:snapToGrid w:val="0"/>
          <w:sz w:val="20"/>
        </w:rPr>
        <w:t>.</w:t>
      </w:r>
      <w:r w:rsidR="00725464">
        <w:rPr>
          <w:rFonts w:ascii="Arial" w:hAnsi="Arial" w:cs="Arial"/>
          <w:snapToGrid w:val="0"/>
          <w:sz w:val="20"/>
        </w:rPr>
        <w:t xml:space="preserve"> </w:t>
      </w:r>
    </w:p>
    <w:p w14:paraId="29FEB672" w14:textId="77777777" w:rsidR="00EE4AF0" w:rsidRPr="00E35C99" w:rsidRDefault="00EE4AF0" w:rsidP="002D4D1D">
      <w:pPr>
        <w:widowControl w:val="0"/>
        <w:tabs>
          <w:tab w:val="left" w:pos="204"/>
        </w:tabs>
        <w:spacing w:before="120" w:after="120"/>
        <w:jc w:val="both"/>
        <w:rPr>
          <w:rFonts w:ascii="Arial" w:hAnsi="Arial" w:cs="Arial"/>
          <w:b/>
          <w:snapToGrid w:val="0"/>
          <w:sz w:val="20"/>
        </w:rPr>
      </w:pPr>
      <w:r w:rsidRPr="00E35C99">
        <w:rPr>
          <w:rFonts w:ascii="Arial" w:hAnsi="Arial" w:cs="Arial"/>
          <w:b/>
          <w:snapToGrid w:val="0"/>
          <w:sz w:val="20"/>
        </w:rPr>
        <w:t>Per godimento beni di terzi</w:t>
      </w:r>
    </w:p>
    <w:p w14:paraId="2BA9EE62" w14:textId="77777777" w:rsidR="00EE4AF0" w:rsidRDefault="00EE4AF0" w:rsidP="002D4D1D">
      <w:pPr>
        <w:widowControl w:val="0"/>
        <w:tabs>
          <w:tab w:val="left" w:pos="204"/>
        </w:tabs>
        <w:spacing w:before="120" w:after="120"/>
        <w:jc w:val="both"/>
        <w:rPr>
          <w:rFonts w:ascii="Arial" w:hAnsi="Arial" w:cs="Arial"/>
          <w:snapToGrid w:val="0"/>
          <w:sz w:val="20"/>
        </w:rPr>
      </w:pPr>
      <w:r w:rsidRPr="00E35C99">
        <w:rPr>
          <w:rFonts w:ascii="Arial" w:hAnsi="Arial" w:cs="Arial"/>
          <w:snapToGrid w:val="0"/>
          <w:sz w:val="20"/>
        </w:rPr>
        <w:t>La voce è così composta:</w:t>
      </w:r>
    </w:p>
    <w:p w14:paraId="312AFD92" w14:textId="2656956F" w:rsidR="00100BE0" w:rsidRDefault="00CE6109" w:rsidP="002D4D1D">
      <w:pPr>
        <w:widowControl w:val="0"/>
        <w:tabs>
          <w:tab w:val="left" w:pos="204"/>
        </w:tabs>
        <w:spacing w:before="120" w:after="120"/>
        <w:jc w:val="both"/>
        <w:rPr>
          <w:rFonts w:ascii="Arial" w:hAnsi="Arial" w:cs="Arial"/>
          <w:snapToGrid w:val="0"/>
          <w:sz w:val="20"/>
        </w:rPr>
      </w:pPr>
      <w:r>
        <w:rPr>
          <w:noProof/>
        </w:rPr>
        <w:drawing>
          <wp:inline distT="0" distB="0" distL="0" distR="0" wp14:anchorId="3203D879" wp14:editId="690956DF">
            <wp:extent cx="5391150" cy="1285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285875"/>
                    </a:xfrm>
                    <a:prstGeom prst="rect">
                      <a:avLst/>
                    </a:prstGeom>
                    <a:noFill/>
                    <a:ln>
                      <a:noFill/>
                    </a:ln>
                  </pic:spPr>
                </pic:pic>
              </a:graphicData>
            </a:graphic>
          </wp:inline>
        </w:drawing>
      </w:r>
    </w:p>
    <w:p w14:paraId="594E86F4" w14:textId="5FC3C905" w:rsidR="00DB17E7" w:rsidRPr="00E35C99" w:rsidRDefault="00B94D8B" w:rsidP="002D4D1D">
      <w:pPr>
        <w:widowControl w:val="0"/>
        <w:tabs>
          <w:tab w:val="left" w:pos="204"/>
        </w:tabs>
        <w:spacing w:before="120" w:after="120"/>
        <w:jc w:val="both"/>
        <w:rPr>
          <w:rFonts w:ascii="Arial" w:hAnsi="Arial" w:cs="Arial"/>
          <w:snapToGrid w:val="0"/>
          <w:sz w:val="20"/>
        </w:rPr>
      </w:pPr>
      <w:r w:rsidRPr="00E35C99">
        <w:rPr>
          <w:rFonts w:ascii="Arial" w:hAnsi="Arial" w:cs="Arial"/>
          <w:snapToGrid w:val="0"/>
          <w:sz w:val="20"/>
        </w:rPr>
        <w:t>L</w:t>
      </w:r>
      <w:r w:rsidR="00DB17E7" w:rsidRPr="00E35C99">
        <w:rPr>
          <w:rFonts w:ascii="Arial" w:hAnsi="Arial" w:cs="Arial"/>
          <w:snapToGrid w:val="0"/>
          <w:sz w:val="20"/>
        </w:rPr>
        <w:t>e voci più significative fanno riferimento, per quanto riguarda il ramo gomma, al canone di usufrutto stipulato da ANM in data 11/10/2007 con l’Ente Autonomo Volturno e che ha riguardato 137 autobus.</w:t>
      </w:r>
      <w:r w:rsidR="00DB17E7" w:rsidRPr="00E35C99">
        <w:t xml:space="preserve"> </w:t>
      </w:r>
      <w:r w:rsidR="00DB17E7" w:rsidRPr="00E35C99">
        <w:rPr>
          <w:rFonts w:ascii="Arial" w:hAnsi="Arial" w:cs="Arial"/>
          <w:snapToGrid w:val="0"/>
          <w:sz w:val="20"/>
        </w:rPr>
        <w:t>L’importo dell’usufrutto è pari a</w:t>
      </w:r>
      <w:r w:rsidR="001C5C38">
        <w:rPr>
          <w:rFonts w:ascii="Arial" w:hAnsi="Arial" w:cs="Arial"/>
          <w:snapToGrid w:val="0"/>
          <w:sz w:val="20"/>
        </w:rPr>
        <w:t xml:space="preserve"> </w:t>
      </w:r>
      <w:r w:rsidR="0084125B">
        <w:rPr>
          <w:rFonts w:ascii="Arial" w:hAnsi="Arial" w:cs="Arial"/>
          <w:snapToGrid w:val="0"/>
          <w:sz w:val="20"/>
        </w:rPr>
        <w:t xml:space="preserve">504 </w:t>
      </w:r>
      <w:r w:rsidR="001C5C38" w:rsidRPr="0055317E">
        <w:rPr>
          <w:rFonts w:ascii="Arial" w:hAnsi="Arial" w:cs="Arial"/>
          <w:snapToGrid w:val="0"/>
          <w:sz w:val="20"/>
        </w:rPr>
        <w:t>€/000</w:t>
      </w:r>
      <w:r w:rsidR="00DB17E7" w:rsidRPr="00E35C99">
        <w:rPr>
          <w:rFonts w:ascii="Arial" w:hAnsi="Arial" w:cs="Arial"/>
          <w:snapToGrid w:val="0"/>
          <w:sz w:val="20"/>
        </w:rPr>
        <w:t>. Per quanto riguarda il ramo ferro</w:t>
      </w:r>
      <w:r w:rsidR="0084125B">
        <w:rPr>
          <w:rFonts w:ascii="Arial" w:hAnsi="Arial" w:cs="Arial"/>
          <w:snapToGrid w:val="0"/>
          <w:sz w:val="20"/>
        </w:rPr>
        <w:t>,</w:t>
      </w:r>
      <w:r w:rsidR="00DB17E7" w:rsidRPr="00E35C99">
        <w:rPr>
          <w:rFonts w:ascii="Arial" w:hAnsi="Arial" w:cs="Arial"/>
          <w:snapToGrid w:val="0"/>
          <w:sz w:val="20"/>
        </w:rPr>
        <w:t xml:space="preserve"> la voce </w:t>
      </w:r>
      <w:r w:rsidR="00DB17E7" w:rsidRPr="00E35C99">
        <w:rPr>
          <w:rFonts w:ascii="Arial" w:hAnsi="Arial" w:cs="Arial"/>
          <w:snapToGrid w:val="0"/>
          <w:sz w:val="20"/>
        </w:rPr>
        <w:lastRenderedPageBreak/>
        <w:t xml:space="preserve">afferisce per 2.057 </w:t>
      </w:r>
      <w:r w:rsidR="001C5C38" w:rsidRPr="0055317E">
        <w:rPr>
          <w:rFonts w:ascii="Arial" w:hAnsi="Arial" w:cs="Arial"/>
          <w:snapToGrid w:val="0"/>
          <w:sz w:val="20"/>
        </w:rPr>
        <w:t>€/000</w:t>
      </w:r>
      <w:r w:rsidR="001C5C38">
        <w:rPr>
          <w:rFonts w:ascii="Arial" w:hAnsi="Arial" w:cs="Arial"/>
          <w:snapToGrid w:val="0"/>
          <w:sz w:val="20"/>
        </w:rPr>
        <w:t xml:space="preserve"> </w:t>
      </w:r>
      <w:r w:rsidR="00DB17E7" w:rsidRPr="00E35C99">
        <w:rPr>
          <w:rFonts w:ascii="Arial" w:hAnsi="Arial" w:cs="Arial"/>
          <w:snapToGrid w:val="0"/>
          <w:sz w:val="20"/>
        </w:rPr>
        <w:t xml:space="preserve">al canone di locazione del materiale rotabile di proprietà della Committenza. </w:t>
      </w:r>
      <w:r w:rsidR="0084125B" w:rsidRPr="00E35C99">
        <w:rPr>
          <w:rFonts w:ascii="Arial" w:hAnsi="Arial" w:cs="Arial"/>
          <w:snapToGrid w:val="0"/>
          <w:sz w:val="20"/>
        </w:rPr>
        <w:t>Infine,</w:t>
      </w:r>
      <w:r w:rsidR="00DB17E7" w:rsidRPr="00E35C99">
        <w:rPr>
          <w:rFonts w:ascii="Arial" w:hAnsi="Arial" w:cs="Arial"/>
          <w:snapToGrid w:val="0"/>
          <w:sz w:val="20"/>
        </w:rPr>
        <w:t xml:space="preserve"> per il ramo sosta del Gruppo la voce principale, per 2.049</w:t>
      </w:r>
      <w:r w:rsidR="001C5C38">
        <w:rPr>
          <w:rFonts w:ascii="Arial" w:hAnsi="Arial" w:cs="Arial"/>
          <w:snapToGrid w:val="0"/>
          <w:sz w:val="20"/>
        </w:rPr>
        <w:t xml:space="preserve"> </w:t>
      </w:r>
      <w:r w:rsidR="001C5C38" w:rsidRPr="0055317E">
        <w:rPr>
          <w:rFonts w:ascii="Arial" w:hAnsi="Arial" w:cs="Arial"/>
          <w:snapToGrid w:val="0"/>
          <w:sz w:val="20"/>
        </w:rPr>
        <w:t>€/000</w:t>
      </w:r>
      <w:r w:rsidR="00DB17E7" w:rsidRPr="00E35C99">
        <w:rPr>
          <w:rFonts w:ascii="Arial" w:hAnsi="Arial" w:cs="Arial"/>
          <w:snapToGrid w:val="0"/>
          <w:sz w:val="20"/>
        </w:rPr>
        <w:t xml:space="preserve">, riguarda il canone della sosta da corrispondere da ANM al Comune di Napoli. </w:t>
      </w:r>
    </w:p>
    <w:p w14:paraId="349C3255" w14:textId="77777777" w:rsidR="00DB17E7" w:rsidRDefault="00DB17E7" w:rsidP="002D4D1D">
      <w:pPr>
        <w:widowControl w:val="0"/>
        <w:tabs>
          <w:tab w:val="left" w:pos="204"/>
        </w:tabs>
        <w:spacing w:before="120" w:after="120"/>
        <w:jc w:val="both"/>
        <w:rPr>
          <w:rFonts w:ascii="Arial" w:hAnsi="Arial" w:cs="Arial"/>
          <w:snapToGrid w:val="0"/>
          <w:sz w:val="20"/>
        </w:rPr>
      </w:pPr>
      <w:r w:rsidRPr="00E35C99">
        <w:rPr>
          <w:rFonts w:ascii="Arial" w:hAnsi="Arial" w:cs="Arial"/>
          <w:snapToGrid w:val="0"/>
          <w:sz w:val="20"/>
        </w:rPr>
        <w:t xml:space="preserve">L’importo residuo si riferisce, essenzialmente, ai canoni di locazione di autovetture/automezzi aziendali, nonché di macchine elettroniche d’ufficio.  </w:t>
      </w:r>
    </w:p>
    <w:p w14:paraId="6743ABBC" w14:textId="77777777" w:rsidR="00EE4AF0" w:rsidRDefault="00EE4AF0" w:rsidP="002D4D1D">
      <w:pPr>
        <w:widowControl w:val="0"/>
        <w:tabs>
          <w:tab w:val="left" w:pos="204"/>
        </w:tabs>
        <w:spacing w:before="120" w:after="120"/>
        <w:jc w:val="both"/>
        <w:rPr>
          <w:rFonts w:ascii="Arial" w:hAnsi="Arial" w:cs="Arial"/>
          <w:b/>
          <w:snapToGrid w:val="0"/>
          <w:sz w:val="20"/>
        </w:rPr>
      </w:pPr>
      <w:r w:rsidRPr="00D25600">
        <w:rPr>
          <w:rFonts w:ascii="Arial" w:hAnsi="Arial" w:cs="Arial"/>
          <w:b/>
          <w:snapToGrid w:val="0"/>
          <w:sz w:val="20"/>
        </w:rPr>
        <w:t>Costo del personale</w:t>
      </w:r>
    </w:p>
    <w:p w14:paraId="2A2048BA" w14:textId="6C7157FE" w:rsidR="0084125B" w:rsidRPr="0084125B" w:rsidRDefault="00CE6109" w:rsidP="002D4D1D">
      <w:pPr>
        <w:widowControl w:val="0"/>
        <w:tabs>
          <w:tab w:val="left" w:pos="204"/>
        </w:tabs>
        <w:spacing w:before="120" w:after="120"/>
        <w:jc w:val="both"/>
        <w:rPr>
          <w:rFonts w:ascii="Arial" w:hAnsi="Arial" w:cs="Arial"/>
          <w:bCs/>
          <w:snapToGrid w:val="0"/>
          <w:sz w:val="20"/>
        </w:rPr>
      </w:pPr>
      <w:r>
        <w:rPr>
          <w:noProof/>
        </w:rPr>
        <w:drawing>
          <wp:inline distT="0" distB="0" distL="0" distR="0" wp14:anchorId="589475BE" wp14:editId="5AFE64E4">
            <wp:extent cx="5391150" cy="130492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1150" cy="1304925"/>
                    </a:xfrm>
                    <a:prstGeom prst="rect">
                      <a:avLst/>
                    </a:prstGeom>
                    <a:noFill/>
                    <a:ln>
                      <a:noFill/>
                    </a:ln>
                  </pic:spPr>
                </pic:pic>
              </a:graphicData>
            </a:graphic>
          </wp:inline>
        </w:drawing>
      </w:r>
    </w:p>
    <w:p w14:paraId="713D8238" w14:textId="77777777" w:rsidR="001C5C38" w:rsidRPr="001C5C38" w:rsidRDefault="001C5C38" w:rsidP="001C5C38">
      <w:pPr>
        <w:widowControl w:val="0"/>
        <w:tabs>
          <w:tab w:val="left" w:pos="204"/>
        </w:tabs>
        <w:spacing w:before="120" w:after="120"/>
        <w:jc w:val="both"/>
        <w:rPr>
          <w:rFonts w:ascii="Arial" w:hAnsi="Arial" w:cs="Arial"/>
          <w:snapToGrid w:val="0"/>
          <w:sz w:val="20"/>
        </w:rPr>
      </w:pPr>
      <w:r w:rsidRPr="001C5C38">
        <w:rPr>
          <w:rFonts w:ascii="Arial" w:hAnsi="Arial" w:cs="Arial"/>
          <w:snapToGrid w:val="0"/>
          <w:sz w:val="20"/>
        </w:rPr>
        <w:t>Sono compresi in questa voce:</w:t>
      </w:r>
    </w:p>
    <w:p w14:paraId="5FB98D16" w14:textId="77777777" w:rsidR="001C5C38" w:rsidRPr="001C5C38" w:rsidRDefault="001C5C38" w:rsidP="001C5C38">
      <w:pPr>
        <w:widowControl w:val="0"/>
        <w:tabs>
          <w:tab w:val="left" w:pos="204"/>
        </w:tabs>
        <w:spacing w:before="120" w:after="120"/>
        <w:jc w:val="both"/>
        <w:rPr>
          <w:rFonts w:ascii="Arial" w:hAnsi="Arial" w:cs="Arial"/>
          <w:snapToGrid w:val="0"/>
          <w:sz w:val="20"/>
        </w:rPr>
      </w:pPr>
      <w:r w:rsidRPr="001C5C38">
        <w:rPr>
          <w:rFonts w:ascii="Arial" w:hAnsi="Arial" w:cs="Arial"/>
          <w:snapToGrid w:val="0"/>
          <w:sz w:val="20"/>
        </w:rPr>
        <w:t>9a: Salari e stipendi: tutti gli emolumenti fissi e variabili che entrano a comporre la retribuzione al lordo di ritenute per imposte ed oneri sociali, nonché i compensi per lavori straordinari o altre indennità;</w:t>
      </w:r>
    </w:p>
    <w:p w14:paraId="6C6670D0" w14:textId="77777777" w:rsidR="001C5C38" w:rsidRPr="001C5C38" w:rsidRDefault="001C5C38" w:rsidP="001C5C38">
      <w:pPr>
        <w:widowControl w:val="0"/>
        <w:tabs>
          <w:tab w:val="left" w:pos="204"/>
        </w:tabs>
        <w:spacing w:before="120" w:after="120"/>
        <w:jc w:val="both"/>
        <w:rPr>
          <w:rFonts w:ascii="Arial" w:hAnsi="Arial" w:cs="Arial"/>
          <w:snapToGrid w:val="0"/>
          <w:sz w:val="20"/>
        </w:rPr>
      </w:pPr>
      <w:r w:rsidRPr="001C5C38">
        <w:rPr>
          <w:rFonts w:ascii="Arial" w:hAnsi="Arial" w:cs="Arial"/>
          <w:snapToGrid w:val="0"/>
          <w:sz w:val="20"/>
        </w:rPr>
        <w:t>9b: Oneri sociali: oneri a carico dell'Azienda da corrispondere agli enti previdenziali ed assicurativi;</w:t>
      </w:r>
    </w:p>
    <w:p w14:paraId="3102C404" w14:textId="77777777" w:rsidR="001C5C38" w:rsidRPr="001C5C38" w:rsidRDefault="001C5C38" w:rsidP="001C5C38">
      <w:pPr>
        <w:widowControl w:val="0"/>
        <w:tabs>
          <w:tab w:val="left" w:pos="204"/>
        </w:tabs>
        <w:spacing w:before="120" w:after="120"/>
        <w:jc w:val="both"/>
        <w:rPr>
          <w:rFonts w:ascii="Arial" w:hAnsi="Arial" w:cs="Arial"/>
          <w:snapToGrid w:val="0"/>
          <w:sz w:val="20"/>
        </w:rPr>
      </w:pPr>
      <w:r w:rsidRPr="001C5C38">
        <w:rPr>
          <w:rFonts w:ascii="Arial" w:hAnsi="Arial" w:cs="Arial"/>
          <w:snapToGrid w:val="0"/>
          <w:sz w:val="20"/>
        </w:rPr>
        <w:t>9c: Trattamento di fine rapporto che comprende l'accantonamento dell'esercizio e relativa rivalutazione del TFR maturato nell'esercizio a favore dei dipendenti ai sensi dell'art. 2120 c.c;</w:t>
      </w:r>
    </w:p>
    <w:p w14:paraId="7399DFC8" w14:textId="52268905" w:rsidR="001C5C38" w:rsidRDefault="001C5C38" w:rsidP="001C5C38">
      <w:pPr>
        <w:widowControl w:val="0"/>
        <w:tabs>
          <w:tab w:val="left" w:pos="204"/>
        </w:tabs>
        <w:spacing w:before="120" w:after="120"/>
        <w:jc w:val="both"/>
        <w:rPr>
          <w:rFonts w:ascii="Arial" w:hAnsi="Arial" w:cs="Arial"/>
          <w:snapToGrid w:val="0"/>
          <w:sz w:val="20"/>
        </w:rPr>
      </w:pPr>
      <w:r w:rsidRPr="001C5C38">
        <w:rPr>
          <w:rFonts w:ascii="Arial" w:hAnsi="Arial" w:cs="Arial"/>
          <w:snapToGrid w:val="0"/>
          <w:sz w:val="20"/>
        </w:rPr>
        <w:t>9e: Altri costi relativi direttamente o indirettamente al personale che non sono stati iscritti nelle precedenti sottovoci o nelle voci di cui ai precedenti punti B.6, B.7, B.8.</w:t>
      </w:r>
    </w:p>
    <w:p w14:paraId="3392E3F5" w14:textId="4A427BF2" w:rsidR="00E44043" w:rsidRPr="00E44043" w:rsidRDefault="00EE4AF0" w:rsidP="00E44043">
      <w:pPr>
        <w:widowControl w:val="0"/>
        <w:tabs>
          <w:tab w:val="left" w:pos="204"/>
        </w:tabs>
        <w:spacing w:before="120" w:after="120"/>
        <w:jc w:val="both"/>
        <w:rPr>
          <w:rFonts w:ascii="Arial" w:hAnsi="Arial" w:cs="Arial"/>
          <w:snapToGrid w:val="0"/>
          <w:sz w:val="20"/>
        </w:rPr>
      </w:pPr>
      <w:r w:rsidRPr="00D25600">
        <w:rPr>
          <w:rFonts w:ascii="Arial" w:hAnsi="Arial" w:cs="Arial"/>
          <w:snapToGrid w:val="0"/>
          <w:sz w:val="20"/>
        </w:rPr>
        <w:t>La composizione del personale ed il dettaglio delle variazioni intervenute nell’organico azie</w:t>
      </w:r>
      <w:r w:rsidR="00E44043">
        <w:rPr>
          <w:rFonts w:ascii="Arial" w:hAnsi="Arial" w:cs="Arial"/>
          <w:snapToGrid w:val="0"/>
          <w:sz w:val="20"/>
        </w:rPr>
        <w:t>ndale sono riportate al punto 13</w:t>
      </w:r>
      <w:r w:rsidRPr="00D25600">
        <w:rPr>
          <w:rFonts w:ascii="Arial" w:hAnsi="Arial" w:cs="Arial"/>
          <w:snapToGrid w:val="0"/>
          <w:sz w:val="20"/>
        </w:rPr>
        <w:t xml:space="preserve"> della presente nota integrativa</w:t>
      </w:r>
      <w:r w:rsidR="00D07B4F" w:rsidRPr="00D25600">
        <w:rPr>
          <w:rFonts w:ascii="Arial" w:hAnsi="Arial" w:cs="Arial"/>
          <w:snapToGrid w:val="0"/>
          <w:sz w:val="20"/>
        </w:rPr>
        <w:t>.</w:t>
      </w:r>
      <w:r w:rsidR="00E44043" w:rsidRPr="00E44043">
        <w:rPr>
          <w:rFonts w:ascii="Arial" w:hAnsi="Arial" w:cs="Arial"/>
          <w:snapToGrid w:val="0"/>
          <w:sz w:val="20"/>
        </w:rPr>
        <w:t xml:space="preserve"> </w:t>
      </w:r>
    </w:p>
    <w:p w14:paraId="2540066C" w14:textId="77777777" w:rsidR="00541AF2" w:rsidRDefault="00541AF2" w:rsidP="002D4D1D">
      <w:pPr>
        <w:widowControl w:val="0"/>
        <w:tabs>
          <w:tab w:val="left" w:pos="204"/>
        </w:tabs>
        <w:spacing w:before="120" w:after="120"/>
        <w:jc w:val="both"/>
        <w:rPr>
          <w:rFonts w:ascii="Arial" w:hAnsi="Arial" w:cs="Arial"/>
          <w:b/>
          <w:snapToGrid w:val="0"/>
          <w:sz w:val="20"/>
        </w:rPr>
      </w:pPr>
      <w:r w:rsidRPr="00D25600">
        <w:rPr>
          <w:rFonts w:ascii="Arial" w:hAnsi="Arial" w:cs="Arial"/>
          <w:b/>
          <w:snapToGrid w:val="0"/>
          <w:sz w:val="20"/>
        </w:rPr>
        <w:t>Altri costi della produzione</w:t>
      </w:r>
    </w:p>
    <w:p w14:paraId="24431D9A" w14:textId="7455F35A" w:rsidR="0084125B" w:rsidRDefault="00CE6109" w:rsidP="002D4D1D">
      <w:pPr>
        <w:widowControl w:val="0"/>
        <w:tabs>
          <w:tab w:val="left" w:pos="204"/>
        </w:tabs>
        <w:spacing w:before="120" w:after="120"/>
        <w:jc w:val="both"/>
        <w:rPr>
          <w:rFonts w:ascii="Arial" w:hAnsi="Arial" w:cs="Arial"/>
          <w:b/>
          <w:snapToGrid w:val="0"/>
          <w:sz w:val="20"/>
        </w:rPr>
      </w:pPr>
      <w:r>
        <w:rPr>
          <w:noProof/>
        </w:rPr>
        <w:drawing>
          <wp:inline distT="0" distB="0" distL="0" distR="0" wp14:anchorId="5275E76B" wp14:editId="4CB26EEA">
            <wp:extent cx="5410200" cy="21336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0200" cy="2133600"/>
                    </a:xfrm>
                    <a:prstGeom prst="rect">
                      <a:avLst/>
                    </a:prstGeom>
                    <a:noFill/>
                    <a:ln>
                      <a:noFill/>
                    </a:ln>
                  </pic:spPr>
                </pic:pic>
              </a:graphicData>
            </a:graphic>
          </wp:inline>
        </w:drawing>
      </w:r>
    </w:p>
    <w:p w14:paraId="3DD3518C" w14:textId="77777777" w:rsidR="001B4BCE" w:rsidRPr="00C51F88" w:rsidRDefault="001B4BCE" w:rsidP="002D4D1D">
      <w:pPr>
        <w:widowControl w:val="0"/>
        <w:tabs>
          <w:tab w:val="left" w:pos="204"/>
        </w:tabs>
        <w:spacing w:before="120" w:after="120"/>
        <w:jc w:val="both"/>
        <w:rPr>
          <w:rFonts w:ascii="Arial" w:hAnsi="Arial" w:cs="Arial"/>
          <w:b/>
          <w:snapToGrid w:val="0"/>
          <w:sz w:val="20"/>
        </w:rPr>
      </w:pPr>
      <w:r w:rsidRPr="00C51F88">
        <w:rPr>
          <w:rFonts w:ascii="Arial" w:hAnsi="Arial" w:cs="Arial"/>
          <w:b/>
          <w:snapToGrid w:val="0"/>
          <w:sz w:val="20"/>
        </w:rPr>
        <w:t xml:space="preserve">Svalutazione dei crediti </w:t>
      </w:r>
    </w:p>
    <w:p w14:paraId="6EEC2EF7" w14:textId="1F236416" w:rsidR="00C51F88" w:rsidRPr="00C51F88" w:rsidRDefault="00C51F88" w:rsidP="00C51F88">
      <w:pPr>
        <w:widowControl w:val="0"/>
        <w:tabs>
          <w:tab w:val="left" w:pos="204"/>
        </w:tabs>
        <w:spacing w:before="120" w:after="120"/>
        <w:jc w:val="both"/>
        <w:rPr>
          <w:rFonts w:ascii="Arial" w:hAnsi="Arial" w:cs="Arial"/>
          <w:snapToGrid w:val="0"/>
          <w:sz w:val="20"/>
        </w:rPr>
      </w:pPr>
      <w:r>
        <w:rPr>
          <w:rFonts w:ascii="Arial" w:hAnsi="Arial" w:cs="Arial"/>
          <w:snapToGrid w:val="0"/>
          <w:sz w:val="20"/>
        </w:rPr>
        <w:t xml:space="preserve">La svalutazione </w:t>
      </w:r>
      <w:r w:rsidRPr="00C51F88">
        <w:rPr>
          <w:rFonts w:ascii="Arial" w:hAnsi="Arial" w:cs="Arial"/>
          <w:snapToGrid w:val="0"/>
          <w:sz w:val="20"/>
        </w:rPr>
        <w:t xml:space="preserve">pari a </w:t>
      </w:r>
      <w:r w:rsidR="00153E39">
        <w:rPr>
          <w:rFonts w:ascii="Arial" w:hAnsi="Arial" w:cs="Arial"/>
          <w:snapToGrid w:val="0"/>
          <w:sz w:val="20"/>
        </w:rPr>
        <w:t>1</w:t>
      </w:r>
      <w:r w:rsidR="0084125B">
        <w:rPr>
          <w:rFonts w:ascii="Arial" w:hAnsi="Arial" w:cs="Arial"/>
          <w:snapToGrid w:val="0"/>
          <w:sz w:val="20"/>
        </w:rPr>
        <w:t xml:space="preserve">.774 </w:t>
      </w:r>
      <w:r w:rsidRPr="00C51F88">
        <w:rPr>
          <w:rFonts w:ascii="Arial" w:hAnsi="Arial" w:cs="Arial"/>
          <w:snapToGrid w:val="0"/>
          <w:sz w:val="20"/>
        </w:rPr>
        <w:t>€/000 è dovut</w:t>
      </w:r>
      <w:r>
        <w:rPr>
          <w:rFonts w:ascii="Arial" w:hAnsi="Arial" w:cs="Arial"/>
          <w:snapToGrid w:val="0"/>
          <w:sz w:val="20"/>
        </w:rPr>
        <w:t>a</w:t>
      </w:r>
      <w:r w:rsidRPr="00C51F88">
        <w:rPr>
          <w:rFonts w:ascii="Arial" w:hAnsi="Arial" w:cs="Arial"/>
          <w:snapToGrid w:val="0"/>
          <w:sz w:val="20"/>
        </w:rPr>
        <w:t xml:space="preserve"> allo stanziamento effettuato nel corso dell'esercizio</w:t>
      </w:r>
      <w:r>
        <w:rPr>
          <w:rFonts w:ascii="Arial" w:hAnsi="Arial" w:cs="Arial"/>
          <w:snapToGrid w:val="0"/>
          <w:sz w:val="20"/>
        </w:rPr>
        <w:t xml:space="preserve"> </w:t>
      </w:r>
      <w:r w:rsidRPr="00C51F88">
        <w:rPr>
          <w:rFonts w:ascii="Arial" w:hAnsi="Arial" w:cs="Arial"/>
          <w:snapToGrid w:val="0"/>
          <w:sz w:val="20"/>
        </w:rPr>
        <w:t xml:space="preserve">per adeguare il valore lordo dei crediti al loro presumibile valore di </w:t>
      </w:r>
      <w:r w:rsidR="0084125B" w:rsidRPr="00C51F88">
        <w:rPr>
          <w:rFonts w:ascii="Arial" w:hAnsi="Arial" w:cs="Arial"/>
          <w:snapToGrid w:val="0"/>
          <w:sz w:val="20"/>
        </w:rPr>
        <w:t>realizzo.</w:t>
      </w:r>
      <w:r w:rsidR="00435DD2">
        <w:rPr>
          <w:rFonts w:ascii="Arial" w:hAnsi="Arial" w:cs="Arial"/>
          <w:snapToGrid w:val="0"/>
          <w:sz w:val="20"/>
        </w:rPr>
        <w:t xml:space="preserve"> Si rinvia, per il commento, all’analisi dei crediti contenuta nella presente nota integrativa</w:t>
      </w:r>
      <w:r w:rsidR="001C5C38">
        <w:rPr>
          <w:rFonts w:ascii="Arial" w:hAnsi="Arial" w:cs="Arial"/>
          <w:snapToGrid w:val="0"/>
          <w:sz w:val="20"/>
        </w:rPr>
        <w:t>.</w:t>
      </w:r>
    </w:p>
    <w:p w14:paraId="75D2A207" w14:textId="77777777" w:rsidR="00EE4AF0" w:rsidRPr="00C51F88" w:rsidRDefault="00EE4AF0" w:rsidP="002D4D1D">
      <w:pPr>
        <w:widowControl w:val="0"/>
        <w:tabs>
          <w:tab w:val="left" w:pos="204"/>
        </w:tabs>
        <w:spacing w:before="120" w:after="120"/>
        <w:jc w:val="both"/>
        <w:rPr>
          <w:rFonts w:ascii="Arial" w:hAnsi="Arial" w:cs="Arial"/>
          <w:b/>
          <w:snapToGrid w:val="0"/>
          <w:sz w:val="20"/>
        </w:rPr>
      </w:pPr>
      <w:r w:rsidRPr="00C51F88">
        <w:rPr>
          <w:rFonts w:ascii="Arial" w:hAnsi="Arial" w:cs="Arial"/>
          <w:b/>
          <w:snapToGrid w:val="0"/>
          <w:sz w:val="20"/>
        </w:rPr>
        <w:t>Ammortamenti e svalutazioni</w:t>
      </w:r>
    </w:p>
    <w:p w14:paraId="2C9EE0C1" w14:textId="7503BA9A" w:rsidR="00571EE7" w:rsidRPr="00C51F88" w:rsidRDefault="00571EE7" w:rsidP="002D4D1D">
      <w:pPr>
        <w:widowControl w:val="0"/>
        <w:tabs>
          <w:tab w:val="left" w:pos="204"/>
        </w:tabs>
        <w:spacing w:before="120" w:after="120"/>
        <w:jc w:val="both"/>
        <w:rPr>
          <w:rFonts w:ascii="Arial" w:hAnsi="Arial" w:cs="Arial"/>
          <w:snapToGrid w:val="0"/>
          <w:sz w:val="20"/>
        </w:rPr>
      </w:pPr>
      <w:r w:rsidRPr="00C51F88">
        <w:rPr>
          <w:rFonts w:ascii="Arial" w:hAnsi="Arial" w:cs="Arial"/>
          <w:snapToGrid w:val="0"/>
          <w:sz w:val="20"/>
        </w:rPr>
        <w:lastRenderedPageBreak/>
        <w:t xml:space="preserve">Nella voce ammortamenti sono stati indicati tutti gli ammortamenti delle immobilizzazioni materiali ed immateriali. </w:t>
      </w:r>
      <w:r w:rsidR="00C51F88" w:rsidRPr="00C51F88">
        <w:rPr>
          <w:rFonts w:ascii="Arial" w:hAnsi="Arial" w:cs="Arial"/>
          <w:snapToGrid w:val="0"/>
          <w:sz w:val="20"/>
        </w:rPr>
        <w:t xml:space="preserve">Non vi sono svalutazioni per perdite durevoli di valore. </w:t>
      </w:r>
      <w:r w:rsidR="00A830EC" w:rsidRPr="00C51F88">
        <w:rPr>
          <w:rFonts w:ascii="Arial" w:hAnsi="Arial" w:cs="Arial"/>
          <w:snapToGrid w:val="0"/>
          <w:sz w:val="20"/>
        </w:rPr>
        <w:t>Nel 2016</w:t>
      </w:r>
      <w:r w:rsidR="00BA3C76" w:rsidRPr="00C51F88">
        <w:rPr>
          <w:rFonts w:ascii="Arial" w:hAnsi="Arial" w:cs="Arial"/>
          <w:snapToGrid w:val="0"/>
          <w:sz w:val="20"/>
        </w:rPr>
        <w:t xml:space="preserve"> </w:t>
      </w:r>
      <w:r w:rsidR="00A830EC" w:rsidRPr="00C51F88">
        <w:rPr>
          <w:rFonts w:ascii="Arial" w:hAnsi="Arial" w:cs="Arial"/>
          <w:snapToGrid w:val="0"/>
          <w:sz w:val="20"/>
        </w:rPr>
        <w:t xml:space="preserve">la Napoli Holding </w:t>
      </w:r>
      <w:r w:rsidR="00C51F88" w:rsidRPr="00C51F88">
        <w:rPr>
          <w:rFonts w:ascii="Arial" w:hAnsi="Arial" w:cs="Arial"/>
          <w:snapToGrid w:val="0"/>
          <w:sz w:val="20"/>
        </w:rPr>
        <w:t xml:space="preserve">aveva </w:t>
      </w:r>
      <w:r w:rsidR="00BA3C76" w:rsidRPr="00C51F88">
        <w:rPr>
          <w:rFonts w:ascii="Arial" w:hAnsi="Arial" w:cs="Arial"/>
          <w:snapToGrid w:val="0"/>
          <w:sz w:val="20"/>
        </w:rPr>
        <w:t>operato</w:t>
      </w:r>
      <w:r w:rsidR="00C51F88" w:rsidRPr="00C51F88">
        <w:rPr>
          <w:rFonts w:ascii="Arial" w:hAnsi="Arial" w:cs="Arial"/>
          <w:snapToGrid w:val="0"/>
          <w:sz w:val="20"/>
        </w:rPr>
        <w:t>,</w:t>
      </w:r>
      <w:r w:rsidR="00BA3C76" w:rsidRPr="00C51F88">
        <w:rPr>
          <w:rFonts w:ascii="Arial" w:hAnsi="Arial" w:cs="Arial"/>
          <w:snapToGrid w:val="0"/>
          <w:sz w:val="20"/>
        </w:rPr>
        <w:t xml:space="preserve"> in ossequio alla preservazione prudenz</w:t>
      </w:r>
      <w:r w:rsidR="00C51F88" w:rsidRPr="00C51F88">
        <w:rPr>
          <w:rFonts w:ascii="Arial" w:hAnsi="Arial" w:cs="Arial"/>
          <w:snapToGrid w:val="0"/>
          <w:sz w:val="20"/>
        </w:rPr>
        <w:t xml:space="preserve">iale del valore degli assets, </w:t>
      </w:r>
      <w:r w:rsidR="00BA3C76" w:rsidRPr="00C51F88">
        <w:rPr>
          <w:rFonts w:ascii="Arial" w:hAnsi="Arial" w:cs="Arial"/>
          <w:snapToGrid w:val="0"/>
          <w:sz w:val="20"/>
        </w:rPr>
        <w:t xml:space="preserve">la svalutazione dell’immobile di proprietà in funzione del valore di mercato dello stesso. </w:t>
      </w:r>
    </w:p>
    <w:p w14:paraId="6621097A" w14:textId="77777777" w:rsidR="00DB17E7" w:rsidRPr="00C51F88" w:rsidRDefault="00DB17E7" w:rsidP="002D4D1D">
      <w:pPr>
        <w:widowControl w:val="0"/>
        <w:tabs>
          <w:tab w:val="left" w:pos="204"/>
        </w:tabs>
        <w:spacing w:before="120" w:after="120"/>
        <w:jc w:val="both"/>
        <w:rPr>
          <w:rFonts w:ascii="Arial" w:hAnsi="Arial" w:cs="Arial"/>
          <w:b/>
          <w:snapToGrid w:val="0"/>
          <w:sz w:val="20"/>
        </w:rPr>
      </w:pPr>
      <w:r w:rsidRPr="00C51F88">
        <w:rPr>
          <w:rFonts w:ascii="Arial" w:hAnsi="Arial" w:cs="Arial"/>
          <w:b/>
          <w:snapToGrid w:val="0"/>
          <w:sz w:val="20"/>
        </w:rPr>
        <w:t>Variazioni rimanenze</w:t>
      </w:r>
    </w:p>
    <w:p w14:paraId="1C758475" w14:textId="77777777" w:rsidR="00DB17E7" w:rsidRPr="00C51F88" w:rsidRDefault="00DB17E7" w:rsidP="002D4D1D">
      <w:pPr>
        <w:widowControl w:val="0"/>
        <w:tabs>
          <w:tab w:val="left" w:pos="204"/>
        </w:tabs>
        <w:spacing w:before="120" w:after="120"/>
        <w:jc w:val="both"/>
        <w:rPr>
          <w:rFonts w:ascii="Arial" w:hAnsi="Arial" w:cs="Arial"/>
          <w:snapToGrid w:val="0"/>
          <w:sz w:val="20"/>
        </w:rPr>
      </w:pPr>
      <w:r w:rsidRPr="00C51F88">
        <w:rPr>
          <w:rFonts w:ascii="Arial" w:hAnsi="Arial" w:cs="Arial"/>
          <w:snapToGrid w:val="0"/>
          <w:sz w:val="20"/>
        </w:rPr>
        <w:t>Per il commento della voce si rinvia alla corrispondente voce di stato patrimoniale.</w:t>
      </w:r>
    </w:p>
    <w:p w14:paraId="63674F00" w14:textId="77777777" w:rsidR="00EE4AF0" w:rsidRPr="00C51F88" w:rsidRDefault="00AF1531" w:rsidP="002D4D1D">
      <w:pPr>
        <w:widowControl w:val="0"/>
        <w:tabs>
          <w:tab w:val="left" w:pos="204"/>
        </w:tabs>
        <w:spacing w:before="120" w:after="120"/>
        <w:jc w:val="both"/>
        <w:rPr>
          <w:rFonts w:ascii="Arial" w:hAnsi="Arial" w:cs="Arial"/>
          <w:b/>
          <w:snapToGrid w:val="0"/>
          <w:sz w:val="20"/>
        </w:rPr>
      </w:pPr>
      <w:r w:rsidRPr="00C51F88">
        <w:rPr>
          <w:rFonts w:ascii="Arial" w:hAnsi="Arial" w:cs="Arial"/>
          <w:b/>
          <w:snapToGrid w:val="0"/>
          <w:sz w:val="20"/>
        </w:rPr>
        <w:t>Accantonamenti per rischi ed oneri ed a</w:t>
      </w:r>
      <w:r w:rsidR="00EE4AF0" w:rsidRPr="00C51F88">
        <w:rPr>
          <w:rFonts w:ascii="Arial" w:hAnsi="Arial" w:cs="Arial"/>
          <w:b/>
          <w:snapToGrid w:val="0"/>
          <w:sz w:val="20"/>
        </w:rPr>
        <w:t xml:space="preserve">ltri accantonamenti </w:t>
      </w:r>
    </w:p>
    <w:p w14:paraId="0D4E8C51" w14:textId="77777777" w:rsidR="00571EE7" w:rsidRPr="00C51F88" w:rsidRDefault="00571EE7" w:rsidP="002D4D1D">
      <w:pPr>
        <w:widowControl w:val="0"/>
        <w:tabs>
          <w:tab w:val="left" w:pos="204"/>
        </w:tabs>
        <w:spacing w:before="120" w:after="120"/>
        <w:jc w:val="both"/>
        <w:rPr>
          <w:rFonts w:ascii="Arial" w:hAnsi="Arial" w:cs="Arial"/>
          <w:snapToGrid w:val="0"/>
          <w:sz w:val="20"/>
        </w:rPr>
      </w:pPr>
      <w:r w:rsidRPr="00C51F88">
        <w:rPr>
          <w:rFonts w:ascii="Arial" w:hAnsi="Arial" w:cs="Arial"/>
          <w:snapToGrid w:val="0"/>
          <w:sz w:val="20"/>
        </w:rPr>
        <w:t xml:space="preserve">Per quanto concerne gli accantonamenti per rischi, </w:t>
      </w:r>
      <w:r w:rsidR="00C51F88" w:rsidRPr="00C51F88">
        <w:rPr>
          <w:rFonts w:ascii="Arial" w:hAnsi="Arial" w:cs="Arial"/>
          <w:snapToGrid w:val="0"/>
          <w:sz w:val="20"/>
        </w:rPr>
        <w:t xml:space="preserve">si rinvia a quanto </w:t>
      </w:r>
      <w:r w:rsidRPr="00C51F88">
        <w:rPr>
          <w:rFonts w:ascii="Arial" w:hAnsi="Arial" w:cs="Arial"/>
          <w:snapToGrid w:val="0"/>
          <w:sz w:val="20"/>
        </w:rPr>
        <w:t>rilevato alla voce B dello Stato patrimoniale</w:t>
      </w:r>
      <w:r w:rsidR="00C51F88" w:rsidRPr="00C51F88">
        <w:rPr>
          <w:rFonts w:ascii="Arial" w:hAnsi="Arial" w:cs="Arial"/>
          <w:snapToGrid w:val="0"/>
          <w:sz w:val="20"/>
        </w:rPr>
        <w:t>.</w:t>
      </w:r>
      <w:r w:rsidRPr="00C51F88">
        <w:rPr>
          <w:rFonts w:ascii="Arial" w:hAnsi="Arial" w:cs="Arial"/>
          <w:snapToGrid w:val="0"/>
          <w:sz w:val="20"/>
        </w:rPr>
        <w:t xml:space="preserve"> </w:t>
      </w:r>
    </w:p>
    <w:p w14:paraId="1969C6AF" w14:textId="77777777" w:rsidR="00EE4AF0" w:rsidRPr="00C51F88" w:rsidRDefault="00EE4AF0" w:rsidP="002D4D1D">
      <w:pPr>
        <w:widowControl w:val="0"/>
        <w:tabs>
          <w:tab w:val="left" w:pos="204"/>
        </w:tabs>
        <w:spacing w:before="120" w:after="120"/>
        <w:jc w:val="both"/>
        <w:rPr>
          <w:rFonts w:ascii="Arial" w:hAnsi="Arial" w:cs="Arial"/>
          <w:b/>
          <w:snapToGrid w:val="0"/>
          <w:sz w:val="20"/>
        </w:rPr>
      </w:pPr>
      <w:r w:rsidRPr="00C51F88">
        <w:rPr>
          <w:rFonts w:ascii="Arial" w:hAnsi="Arial" w:cs="Arial"/>
          <w:b/>
          <w:snapToGrid w:val="0"/>
          <w:sz w:val="20"/>
        </w:rPr>
        <w:t>Oneri diversi di gestione</w:t>
      </w:r>
    </w:p>
    <w:p w14:paraId="09F7F774" w14:textId="1CBEA462" w:rsidR="00404CF3" w:rsidRPr="00404CF3" w:rsidRDefault="0058156B" w:rsidP="00404CF3">
      <w:pPr>
        <w:widowControl w:val="0"/>
        <w:spacing w:before="120" w:after="120"/>
        <w:jc w:val="both"/>
        <w:rPr>
          <w:rFonts w:ascii="Arial" w:hAnsi="Arial" w:cs="Arial"/>
          <w:snapToGrid w:val="0"/>
          <w:sz w:val="20"/>
        </w:rPr>
      </w:pPr>
      <w:r w:rsidRPr="00C51F88">
        <w:rPr>
          <w:rFonts w:ascii="Arial" w:hAnsi="Arial" w:cs="Arial"/>
          <w:snapToGrid w:val="0"/>
          <w:sz w:val="20"/>
        </w:rPr>
        <w:t>Gli oneri diversi di gestione</w:t>
      </w:r>
      <w:r w:rsidR="00571EE7" w:rsidRPr="00C51F88">
        <w:rPr>
          <w:rFonts w:ascii="Arial" w:hAnsi="Arial" w:cs="Arial"/>
          <w:snapToGrid w:val="0"/>
          <w:sz w:val="20"/>
        </w:rPr>
        <w:t xml:space="preserve"> ammontano a </w:t>
      </w:r>
      <w:r w:rsidR="00C51F88">
        <w:rPr>
          <w:rFonts w:ascii="Arial" w:hAnsi="Arial" w:cs="Arial"/>
          <w:snapToGrid w:val="0"/>
          <w:sz w:val="20"/>
        </w:rPr>
        <w:t>2.</w:t>
      </w:r>
      <w:r w:rsidR="00435DD2">
        <w:rPr>
          <w:rFonts w:ascii="Arial" w:hAnsi="Arial" w:cs="Arial"/>
          <w:snapToGrid w:val="0"/>
          <w:sz w:val="20"/>
        </w:rPr>
        <w:t>781</w:t>
      </w:r>
      <w:r w:rsidR="00DB17E7" w:rsidRPr="00C51F88">
        <w:rPr>
          <w:rFonts w:ascii="Arial" w:hAnsi="Arial" w:cs="Arial"/>
          <w:snapToGrid w:val="0"/>
          <w:sz w:val="20"/>
        </w:rPr>
        <w:t xml:space="preserve"> </w:t>
      </w:r>
      <w:r w:rsidR="001C5C38">
        <w:rPr>
          <w:rFonts w:ascii="Arial" w:hAnsi="Arial" w:cs="Arial"/>
          <w:snapToGrid w:val="0"/>
          <w:sz w:val="20"/>
        </w:rPr>
        <w:t>€/000</w:t>
      </w:r>
      <w:r w:rsidR="00D30B58" w:rsidRPr="00C51F88">
        <w:rPr>
          <w:rFonts w:ascii="Arial" w:hAnsi="Arial" w:cs="Arial"/>
          <w:snapToGrid w:val="0"/>
          <w:sz w:val="20"/>
        </w:rPr>
        <w:t xml:space="preserve"> </w:t>
      </w:r>
      <w:r w:rsidR="00A735B5" w:rsidRPr="00C51F88">
        <w:rPr>
          <w:rFonts w:ascii="Arial" w:hAnsi="Arial" w:cs="Arial"/>
          <w:snapToGrid w:val="0"/>
          <w:sz w:val="20"/>
        </w:rPr>
        <w:t xml:space="preserve">e </w:t>
      </w:r>
      <w:r w:rsidRPr="00C51F88">
        <w:rPr>
          <w:rFonts w:ascii="Arial" w:hAnsi="Arial" w:cs="Arial"/>
          <w:snapToGrid w:val="0"/>
          <w:sz w:val="20"/>
        </w:rPr>
        <w:t xml:space="preserve">si riferiscono principalmente ad </w:t>
      </w:r>
      <w:r w:rsidR="00DB17E7" w:rsidRPr="00C51F88">
        <w:rPr>
          <w:rFonts w:ascii="Arial" w:hAnsi="Arial" w:cs="Arial"/>
          <w:snapToGrid w:val="0"/>
          <w:sz w:val="20"/>
        </w:rPr>
        <w:t xml:space="preserve">oneri </w:t>
      </w:r>
      <w:r w:rsidR="00435DD2" w:rsidRPr="00C51F88">
        <w:rPr>
          <w:rFonts w:ascii="Arial" w:hAnsi="Arial" w:cs="Arial"/>
          <w:snapToGrid w:val="0"/>
          <w:sz w:val="20"/>
        </w:rPr>
        <w:t>tributari, quali</w:t>
      </w:r>
      <w:r w:rsidR="00DB17E7" w:rsidRPr="00C51F88">
        <w:rPr>
          <w:rFonts w:ascii="Arial" w:hAnsi="Arial" w:cs="Arial"/>
          <w:snapToGrid w:val="0"/>
          <w:sz w:val="20"/>
        </w:rPr>
        <w:t xml:space="preserve"> imposte di bollo, tasse di concessione governativa, tasse sui rifiuti solidi urbani, contributi ad associazioni governativ</w:t>
      </w:r>
      <w:r w:rsidR="00C51F88">
        <w:rPr>
          <w:rFonts w:ascii="Arial" w:hAnsi="Arial" w:cs="Arial"/>
          <w:snapToGrid w:val="0"/>
          <w:sz w:val="20"/>
        </w:rPr>
        <w:t>e, contributo CRAL</w:t>
      </w:r>
      <w:r w:rsidR="00404CF3">
        <w:rPr>
          <w:rFonts w:ascii="Arial" w:hAnsi="Arial" w:cs="Arial"/>
          <w:snapToGrid w:val="0"/>
          <w:sz w:val="20"/>
        </w:rPr>
        <w:t xml:space="preserve"> ed a </w:t>
      </w:r>
      <w:r w:rsidR="00404CF3" w:rsidRPr="00404CF3">
        <w:rPr>
          <w:rFonts w:ascii="Arial" w:hAnsi="Arial" w:cs="Arial"/>
          <w:snapToGrid w:val="0"/>
          <w:sz w:val="20"/>
        </w:rPr>
        <w:t>perdite su crediti derivanti da riconoscimenti giudiziali o transazioni, fallimento debitore o prescrizione</w:t>
      </w:r>
      <w:r w:rsidR="00516CDA">
        <w:rPr>
          <w:rFonts w:ascii="Arial" w:hAnsi="Arial" w:cs="Arial"/>
          <w:snapToGrid w:val="0"/>
          <w:sz w:val="20"/>
        </w:rPr>
        <w:t>.</w:t>
      </w:r>
    </w:p>
    <w:p w14:paraId="08DCC262" w14:textId="77777777" w:rsidR="00EE4AF0" w:rsidRPr="0040293F" w:rsidRDefault="00EE4AF0" w:rsidP="002D4D1D">
      <w:pPr>
        <w:widowControl w:val="0"/>
        <w:tabs>
          <w:tab w:val="left" w:pos="204"/>
        </w:tabs>
        <w:spacing w:before="120" w:after="120"/>
        <w:jc w:val="both"/>
        <w:rPr>
          <w:rFonts w:ascii="Arial" w:hAnsi="Arial" w:cs="Arial"/>
          <w:b/>
          <w:snapToGrid w:val="0"/>
          <w:sz w:val="20"/>
        </w:rPr>
      </w:pPr>
      <w:r w:rsidRPr="0040293F">
        <w:rPr>
          <w:rFonts w:ascii="Arial" w:hAnsi="Arial" w:cs="Arial"/>
          <w:b/>
          <w:snapToGrid w:val="0"/>
          <w:sz w:val="20"/>
        </w:rPr>
        <w:t>Proventi ed oneri finanziari</w:t>
      </w:r>
    </w:p>
    <w:p w14:paraId="1819E7A5" w14:textId="77777777" w:rsidR="00EE4AF0" w:rsidRDefault="008F0468" w:rsidP="002D4D1D">
      <w:pPr>
        <w:widowControl w:val="0"/>
        <w:tabs>
          <w:tab w:val="left" w:pos="204"/>
        </w:tabs>
        <w:spacing w:before="120" w:after="120"/>
        <w:jc w:val="both"/>
        <w:rPr>
          <w:rFonts w:ascii="Arial" w:hAnsi="Arial" w:cs="Arial"/>
          <w:snapToGrid w:val="0"/>
          <w:sz w:val="20"/>
        </w:rPr>
      </w:pPr>
      <w:r w:rsidRPr="0040293F">
        <w:rPr>
          <w:rFonts w:ascii="Arial" w:hAnsi="Arial" w:cs="Arial"/>
          <w:snapToGrid w:val="0"/>
          <w:sz w:val="20"/>
        </w:rPr>
        <w:t>Le voci proventi e oneri finanziari</w:t>
      </w:r>
      <w:r w:rsidR="00075ACE" w:rsidRPr="0040293F">
        <w:rPr>
          <w:rFonts w:ascii="Arial" w:hAnsi="Arial" w:cs="Arial"/>
          <w:snapToGrid w:val="0"/>
          <w:sz w:val="20"/>
        </w:rPr>
        <w:t xml:space="preserve"> sono </w:t>
      </w:r>
      <w:r w:rsidR="007E5349" w:rsidRPr="0040293F">
        <w:rPr>
          <w:rFonts w:ascii="Arial" w:hAnsi="Arial" w:cs="Arial"/>
          <w:snapToGrid w:val="0"/>
          <w:sz w:val="20"/>
        </w:rPr>
        <w:t>così composte</w:t>
      </w:r>
      <w:r w:rsidR="00EE4AF0" w:rsidRPr="0040293F">
        <w:rPr>
          <w:rFonts w:ascii="Arial" w:hAnsi="Arial" w:cs="Arial"/>
          <w:snapToGrid w:val="0"/>
          <w:sz w:val="20"/>
        </w:rPr>
        <w:t xml:space="preserve"> nel dettaglio:</w:t>
      </w:r>
    </w:p>
    <w:p w14:paraId="34D867B4" w14:textId="5899E0D9" w:rsidR="00C718C6" w:rsidRDefault="00CE6109" w:rsidP="002D4D1D">
      <w:pPr>
        <w:widowControl w:val="0"/>
        <w:tabs>
          <w:tab w:val="left" w:pos="204"/>
        </w:tabs>
        <w:spacing w:before="120" w:after="120"/>
        <w:jc w:val="both"/>
        <w:rPr>
          <w:rFonts w:ascii="Arial" w:hAnsi="Arial" w:cs="Arial"/>
          <w:snapToGrid w:val="0"/>
          <w:sz w:val="20"/>
        </w:rPr>
      </w:pPr>
      <w:r>
        <w:rPr>
          <w:noProof/>
        </w:rPr>
        <w:drawing>
          <wp:inline distT="0" distB="0" distL="0" distR="0" wp14:anchorId="103BD535" wp14:editId="039A7C29">
            <wp:extent cx="5400675" cy="1819275"/>
            <wp:effectExtent l="0" t="0" r="9525"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675" cy="1819275"/>
                    </a:xfrm>
                    <a:prstGeom prst="rect">
                      <a:avLst/>
                    </a:prstGeom>
                    <a:noFill/>
                    <a:ln>
                      <a:noFill/>
                    </a:ln>
                  </pic:spPr>
                </pic:pic>
              </a:graphicData>
            </a:graphic>
          </wp:inline>
        </w:drawing>
      </w:r>
    </w:p>
    <w:p w14:paraId="6D0F3828" w14:textId="77777777" w:rsidR="001B4BCE" w:rsidRPr="00C718C6" w:rsidRDefault="00A40BC1" w:rsidP="002D4D1D">
      <w:pPr>
        <w:widowControl w:val="0"/>
        <w:tabs>
          <w:tab w:val="left" w:pos="204"/>
        </w:tabs>
        <w:spacing w:before="120" w:after="120"/>
        <w:jc w:val="both"/>
        <w:rPr>
          <w:rFonts w:ascii="Arial" w:hAnsi="Arial" w:cs="Arial"/>
          <w:b/>
          <w:snapToGrid w:val="0"/>
          <w:sz w:val="20"/>
          <w:u w:val="single"/>
        </w:rPr>
      </w:pPr>
      <w:r>
        <w:rPr>
          <w:rFonts w:ascii="Arial" w:hAnsi="Arial" w:cs="Arial"/>
          <w:b/>
          <w:snapToGrid w:val="0"/>
          <w:sz w:val="20"/>
          <w:u w:val="single"/>
        </w:rPr>
        <w:t xml:space="preserve">Proventi </w:t>
      </w:r>
      <w:r w:rsidR="00B84534" w:rsidRPr="00C718C6">
        <w:rPr>
          <w:rFonts w:ascii="Arial" w:hAnsi="Arial" w:cs="Arial"/>
          <w:b/>
          <w:snapToGrid w:val="0"/>
          <w:sz w:val="20"/>
          <w:u w:val="single"/>
        </w:rPr>
        <w:t>finanziari:</w:t>
      </w:r>
    </w:p>
    <w:p w14:paraId="7BEA5994" w14:textId="3CFF696E" w:rsidR="00A40BC1" w:rsidRPr="00A40BC1" w:rsidRDefault="00722B36" w:rsidP="00A40BC1">
      <w:pPr>
        <w:widowControl w:val="0"/>
        <w:tabs>
          <w:tab w:val="left" w:pos="204"/>
        </w:tabs>
        <w:spacing w:before="120" w:after="120"/>
        <w:jc w:val="both"/>
        <w:rPr>
          <w:rFonts w:ascii="Arial" w:hAnsi="Arial" w:cs="Arial"/>
          <w:bCs/>
          <w:snapToGrid w:val="0"/>
          <w:sz w:val="20"/>
        </w:rPr>
      </w:pPr>
      <w:r>
        <w:rPr>
          <w:rFonts w:ascii="Arial" w:hAnsi="Arial" w:cs="Arial"/>
          <w:snapToGrid w:val="0"/>
          <w:sz w:val="20"/>
        </w:rPr>
        <w:t>Il Gruppo</w:t>
      </w:r>
      <w:r w:rsidR="00435DD2">
        <w:rPr>
          <w:rFonts w:ascii="Arial" w:hAnsi="Arial" w:cs="Arial"/>
          <w:snapToGrid w:val="0"/>
          <w:sz w:val="20"/>
        </w:rPr>
        <w:t xml:space="preserve"> </w:t>
      </w:r>
      <w:r w:rsidR="00A40BC1" w:rsidRPr="00A40BC1">
        <w:rPr>
          <w:rFonts w:ascii="Arial" w:hAnsi="Arial" w:cs="Arial"/>
          <w:bCs/>
          <w:snapToGrid w:val="0"/>
          <w:sz w:val="20"/>
        </w:rPr>
        <w:t xml:space="preserve">ha registrato </w:t>
      </w:r>
      <w:r>
        <w:rPr>
          <w:rFonts w:ascii="Arial" w:hAnsi="Arial" w:cs="Arial"/>
          <w:bCs/>
          <w:snapToGrid w:val="0"/>
          <w:sz w:val="20"/>
        </w:rPr>
        <w:t>nel bilancio consolidato</w:t>
      </w:r>
      <w:r w:rsidRPr="00A40BC1">
        <w:rPr>
          <w:rFonts w:ascii="Arial" w:hAnsi="Arial" w:cs="Arial"/>
          <w:bCs/>
          <w:snapToGrid w:val="0"/>
          <w:sz w:val="20"/>
        </w:rPr>
        <w:t xml:space="preserve"> </w:t>
      </w:r>
      <w:r w:rsidR="00A40BC1" w:rsidRPr="00A40BC1">
        <w:rPr>
          <w:rFonts w:ascii="Arial" w:hAnsi="Arial" w:cs="Arial"/>
          <w:bCs/>
          <w:snapToGrid w:val="0"/>
          <w:sz w:val="20"/>
        </w:rPr>
        <w:t xml:space="preserve">chiuso al 31 dicembre 2019 una sopravvenienza attiva per Euro 41.169 mila derivante dell’eliminazione di alcune partite debitorie </w:t>
      </w:r>
      <w:r>
        <w:rPr>
          <w:rFonts w:ascii="Arial" w:hAnsi="Arial" w:cs="Arial"/>
          <w:bCs/>
          <w:snapToGrid w:val="0"/>
          <w:sz w:val="20"/>
        </w:rPr>
        <w:t>iscritte dalla società controllata</w:t>
      </w:r>
      <w:r w:rsidR="00020B0B">
        <w:rPr>
          <w:rFonts w:ascii="Arial" w:hAnsi="Arial" w:cs="Arial"/>
          <w:bCs/>
          <w:snapToGrid w:val="0"/>
          <w:sz w:val="20"/>
        </w:rPr>
        <w:t xml:space="preserve"> ANM S.p.A.</w:t>
      </w:r>
      <w:r w:rsidRPr="00A40BC1">
        <w:rPr>
          <w:rFonts w:ascii="Arial" w:hAnsi="Arial" w:cs="Arial"/>
          <w:bCs/>
          <w:snapToGrid w:val="0"/>
          <w:sz w:val="20"/>
        </w:rPr>
        <w:t xml:space="preserve"> </w:t>
      </w:r>
      <w:r>
        <w:rPr>
          <w:rFonts w:ascii="Arial" w:hAnsi="Arial" w:cs="Arial"/>
          <w:bCs/>
          <w:snapToGrid w:val="0"/>
          <w:sz w:val="20"/>
        </w:rPr>
        <w:t xml:space="preserve">e </w:t>
      </w:r>
      <w:r w:rsidR="00A40BC1" w:rsidRPr="00A40BC1">
        <w:rPr>
          <w:rFonts w:ascii="Arial" w:hAnsi="Arial" w:cs="Arial"/>
          <w:bCs/>
          <w:snapToGrid w:val="0"/>
          <w:sz w:val="20"/>
        </w:rPr>
        <w:t>rientranti nel passivo concordatario e ritenute estinte</w:t>
      </w:r>
      <w:r w:rsidRPr="00722B36">
        <w:t xml:space="preserve"> </w:t>
      </w:r>
      <w:r w:rsidRPr="00722B36">
        <w:rPr>
          <w:rFonts w:ascii="Arial" w:hAnsi="Arial" w:cs="Arial"/>
          <w:bCs/>
          <w:snapToGrid w:val="0"/>
          <w:sz w:val="20"/>
        </w:rPr>
        <w:t>in conseguenza dell’effetto novativo dell’avvenuta omologa da parte del Tribunale di Napoli della summenzionata istanza di concordato preventivo, ex art. 161, comma 6, L.F.</w:t>
      </w:r>
      <w:r>
        <w:rPr>
          <w:rFonts w:ascii="Arial" w:hAnsi="Arial" w:cs="Arial"/>
          <w:bCs/>
          <w:snapToGrid w:val="0"/>
          <w:sz w:val="20"/>
        </w:rPr>
        <w:t xml:space="preserve"> presentata dalla società controllata</w:t>
      </w:r>
      <w:r w:rsidR="00A40BC1" w:rsidRPr="00A40BC1">
        <w:rPr>
          <w:rFonts w:ascii="Arial" w:hAnsi="Arial" w:cs="Arial"/>
          <w:bCs/>
          <w:snapToGrid w:val="0"/>
          <w:sz w:val="20"/>
        </w:rPr>
        <w:t xml:space="preserve">, il cui ammontare è stato determinato sulla base delle “percentuali di soddisfo” associate ai creditori chirografari, previste nel piano concordatario ed in precedenza </w:t>
      </w:r>
      <w:r>
        <w:rPr>
          <w:rFonts w:ascii="Arial" w:hAnsi="Arial" w:cs="Arial"/>
          <w:bCs/>
          <w:snapToGrid w:val="0"/>
          <w:sz w:val="20"/>
        </w:rPr>
        <w:t>illustrate</w:t>
      </w:r>
      <w:r w:rsidR="00A40BC1" w:rsidRPr="00A40BC1">
        <w:rPr>
          <w:rFonts w:ascii="Arial" w:hAnsi="Arial" w:cs="Arial"/>
          <w:bCs/>
          <w:snapToGrid w:val="0"/>
          <w:sz w:val="20"/>
        </w:rPr>
        <w:t>.</w:t>
      </w:r>
    </w:p>
    <w:p w14:paraId="5F39AC4B" w14:textId="7E483EB1" w:rsidR="00722B36" w:rsidRDefault="00722B36" w:rsidP="00A40BC1">
      <w:pPr>
        <w:widowControl w:val="0"/>
        <w:tabs>
          <w:tab w:val="left" w:pos="204"/>
        </w:tabs>
        <w:spacing w:before="120" w:after="120"/>
        <w:jc w:val="both"/>
        <w:rPr>
          <w:rFonts w:ascii="Arial" w:hAnsi="Arial" w:cs="Arial"/>
          <w:bCs/>
          <w:snapToGrid w:val="0"/>
          <w:sz w:val="20"/>
        </w:rPr>
      </w:pPr>
      <w:r>
        <w:rPr>
          <w:rFonts w:ascii="Arial" w:hAnsi="Arial" w:cs="Arial"/>
          <w:bCs/>
          <w:snapToGrid w:val="0"/>
          <w:sz w:val="20"/>
        </w:rPr>
        <w:t>Come sopra riportato, i</w:t>
      </w:r>
      <w:r w:rsidRPr="00722B36">
        <w:rPr>
          <w:rFonts w:ascii="Arial" w:hAnsi="Arial" w:cs="Arial"/>
          <w:bCs/>
          <w:snapToGrid w:val="0"/>
          <w:sz w:val="20"/>
        </w:rPr>
        <w:t xml:space="preserve">l piano concordatario </w:t>
      </w:r>
      <w:r>
        <w:rPr>
          <w:rFonts w:ascii="Arial" w:hAnsi="Arial" w:cs="Arial"/>
          <w:bCs/>
          <w:snapToGrid w:val="0"/>
          <w:sz w:val="20"/>
        </w:rPr>
        <w:t xml:space="preserve">della società controllata </w:t>
      </w:r>
      <w:r w:rsidRPr="00722B36">
        <w:rPr>
          <w:rFonts w:ascii="Arial" w:hAnsi="Arial" w:cs="Arial"/>
          <w:bCs/>
          <w:snapToGrid w:val="0"/>
          <w:sz w:val="20"/>
        </w:rPr>
        <w:t>prevede, tuttavia, anche l’ipotesi tale per cui “l’emersione di maggiori flussi finanziari disponibili nel periodo concordatario determinerà un corrispondente incremento della soddisfazione dei creditori in quanto tutta la liquidità “in surplus” verrà destinata a soddisfare il passivo concordatario”.</w:t>
      </w:r>
    </w:p>
    <w:p w14:paraId="687B7721" w14:textId="2E787BFF" w:rsidR="00A40BC1" w:rsidRPr="00A40BC1" w:rsidRDefault="00A40BC1" w:rsidP="00A40BC1">
      <w:pPr>
        <w:widowControl w:val="0"/>
        <w:tabs>
          <w:tab w:val="left" w:pos="204"/>
        </w:tabs>
        <w:spacing w:before="120" w:after="120"/>
        <w:jc w:val="both"/>
        <w:rPr>
          <w:rFonts w:ascii="Arial" w:hAnsi="Arial" w:cs="Arial"/>
          <w:bCs/>
          <w:snapToGrid w:val="0"/>
          <w:sz w:val="20"/>
        </w:rPr>
      </w:pPr>
      <w:r w:rsidRPr="00A40BC1">
        <w:rPr>
          <w:rFonts w:ascii="Arial" w:hAnsi="Arial" w:cs="Arial"/>
          <w:bCs/>
          <w:snapToGrid w:val="0"/>
          <w:sz w:val="20"/>
        </w:rPr>
        <w:t xml:space="preserve">Nell’effettuare tale registrazione, si è ritenuto di applicare quanto previsto dal principio contabile nazionale OIC 19 secondo cui “la Società elimina in tutto o in parte il debito dal Bilancio quando l’obbligazione contrattuale e/o legale risulta estinta per adempimento o altra causa, o trasferita”. Nell’ambito di tale principio si specifica che la data alla quale sono rilevati gli effetti della eliminazione contabile, nel caso di specie del concordato preventivo ex art 161. L.f, , è quella della omologa. </w:t>
      </w:r>
    </w:p>
    <w:p w14:paraId="5BD19BB9" w14:textId="1B7CFC47" w:rsidR="00722B36" w:rsidRDefault="00A40BC1" w:rsidP="00A40BC1">
      <w:pPr>
        <w:widowControl w:val="0"/>
        <w:tabs>
          <w:tab w:val="left" w:pos="204"/>
        </w:tabs>
        <w:spacing w:before="120" w:after="120"/>
        <w:jc w:val="both"/>
        <w:rPr>
          <w:rFonts w:ascii="Arial" w:hAnsi="Arial" w:cs="Arial"/>
          <w:bCs/>
          <w:snapToGrid w:val="0"/>
          <w:sz w:val="20"/>
        </w:rPr>
      </w:pPr>
      <w:r w:rsidRPr="00A40BC1">
        <w:rPr>
          <w:rFonts w:ascii="Arial" w:hAnsi="Arial" w:cs="Arial"/>
          <w:bCs/>
          <w:snapToGrid w:val="0"/>
          <w:sz w:val="20"/>
        </w:rPr>
        <w:t xml:space="preserve">A valle di un’approfondita analisi della fattispecie in oggetto, e dell’ottenimento di specifici pareri </w:t>
      </w:r>
      <w:r w:rsidRPr="00A40BC1">
        <w:rPr>
          <w:rFonts w:ascii="Arial" w:hAnsi="Arial" w:cs="Arial"/>
          <w:bCs/>
          <w:snapToGrid w:val="0"/>
          <w:sz w:val="20"/>
        </w:rPr>
        <w:lastRenderedPageBreak/>
        <w:t xml:space="preserve">di natura legale e contabile da parte di autoritari terzi soggetti, emerge come risulti prevalente, in dottrina, nella giurisprudenza e nella prassi di riferimento, l’orientamento secondo cui </w:t>
      </w:r>
      <w:r w:rsidR="00020B0B">
        <w:rPr>
          <w:rFonts w:ascii="Arial" w:hAnsi="Arial" w:cs="Arial"/>
          <w:bCs/>
          <w:snapToGrid w:val="0"/>
          <w:sz w:val="20"/>
        </w:rPr>
        <w:t>nel</w:t>
      </w:r>
      <w:r w:rsidR="00722B36">
        <w:rPr>
          <w:rFonts w:ascii="Arial" w:hAnsi="Arial" w:cs="Arial"/>
          <w:bCs/>
          <w:snapToGrid w:val="0"/>
          <w:sz w:val="20"/>
        </w:rPr>
        <w:t xml:space="preserve"> </w:t>
      </w:r>
      <w:r w:rsidR="00020B0B">
        <w:rPr>
          <w:rFonts w:ascii="Arial" w:hAnsi="Arial" w:cs="Arial"/>
          <w:bCs/>
          <w:snapToGrid w:val="0"/>
          <w:sz w:val="20"/>
        </w:rPr>
        <w:t xml:space="preserve"> </w:t>
      </w:r>
      <w:r w:rsidR="00722B36" w:rsidRPr="00722B36">
        <w:rPr>
          <w:rFonts w:ascii="Arial" w:hAnsi="Arial" w:cs="Arial"/>
          <w:bCs/>
          <w:snapToGrid w:val="0"/>
          <w:sz w:val="20"/>
        </w:rPr>
        <w:t xml:space="preserve">confermare l’esistenza di un’ipotesi di miglioramento della percentuale di soddisfo dei creditori chirografari, </w:t>
      </w:r>
      <w:r w:rsidR="00020B0B">
        <w:rPr>
          <w:rFonts w:ascii="Arial" w:hAnsi="Arial" w:cs="Arial"/>
          <w:bCs/>
          <w:snapToGrid w:val="0"/>
          <w:sz w:val="20"/>
        </w:rPr>
        <w:t xml:space="preserve">possa ritenere </w:t>
      </w:r>
      <w:r w:rsidR="00722B36" w:rsidRPr="00722B36">
        <w:rPr>
          <w:rFonts w:ascii="Arial" w:hAnsi="Arial" w:cs="Arial"/>
          <w:bCs/>
          <w:snapToGrid w:val="0"/>
          <w:sz w:val="20"/>
        </w:rPr>
        <w:t>che l’avvenuta omologa della procedura concordataria determini una novazione degli originari rapporti debitori e l’insorgere di nuove obbligazioni nascenti dall’omologa stessa, che la società controllata sarà tenuta ad estinguere nei tempi e con le modalità individuate dalla proposta concordataria.</w:t>
      </w:r>
    </w:p>
    <w:p w14:paraId="22394707" w14:textId="20789451" w:rsidR="00020B0B" w:rsidRPr="00020B0B" w:rsidRDefault="00020B0B" w:rsidP="00020B0B">
      <w:pPr>
        <w:widowControl w:val="0"/>
        <w:tabs>
          <w:tab w:val="left" w:pos="204"/>
        </w:tabs>
        <w:spacing w:before="120" w:after="120"/>
        <w:jc w:val="both"/>
        <w:rPr>
          <w:rFonts w:ascii="Arial" w:hAnsi="Arial" w:cs="Arial"/>
          <w:bCs/>
          <w:snapToGrid w:val="0"/>
          <w:sz w:val="20"/>
        </w:rPr>
      </w:pPr>
      <w:r w:rsidRPr="00020B0B">
        <w:rPr>
          <w:rFonts w:ascii="Arial" w:hAnsi="Arial" w:cs="Arial"/>
          <w:bCs/>
          <w:snapToGrid w:val="0"/>
          <w:sz w:val="20"/>
        </w:rPr>
        <w:t xml:space="preserve">Tali pareri confermano, inoltre, che l’obbligazione assunta dalla società controllata nel mettere a disposizione dei creditori chirografari gli eventuali maggiori flussi di cassa che potranno essere disponibili nel corso dell’esecuzione del piano, da un punto di vista giuridico, </w:t>
      </w:r>
      <w:r>
        <w:rPr>
          <w:rFonts w:ascii="Arial" w:hAnsi="Arial" w:cs="Arial"/>
          <w:bCs/>
          <w:snapToGrid w:val="0"/>
          <w:sz w:val="20"/>
        </w:rPr>
        <w:t>si possa ritenere</w:t>
      </w:r>
      <w:r w:rsidRPr="00020B0B">
        <w:rPr>
          <w:rFonts w:ascii="Arial" w:hAnsi="Arial" w:cs="Arial"/>
          <w:bCs/>
          <w:snapToGrid w:val="0"/>
          <w:sz w:val="20"/>
        </w:rPr>
        <w:t xml:space="preserve"> quale “soggetta a condizione sospensiva” e pertanto condizionata al positivo verificarsi di determinati </w:t>
      </w:r>
      <w:r>
        <w:rPr>
          <w:rFonts w:ascii="Arial" w:hAnsi="Arial" w:cs="Arial"/>
          <w:bCs/>
          <w:snapToGrid w:val="0"/>
          <w:sz w:val="20"/>
        </w:rPr>
        <w:t>eventi futuri. A tale riguardo si è proceduto ad aggiornare</w:t>
      </w:r>
      <w:r w:rsidRPr="00020B0B">
        <w:rPr>
          <w:rFonts w:ascii="Arial" w:hAnsi="Arial" w:cs="Arial"/>
          <w:bCs/>
          <w:snapToGrid w:val="0"/>
          <w:sz w:val="20"/>
        </w:rPr>
        <w:t>, anche con il supporto di un consulente esterno, le previsioni incluse nel piano concordatario</w:t>
      </w:r>
      <w:r>
        <w:rPr>
          <w:rFonts w:ascii="Arial" w:hAnsi="Arial" w:cs="Arial"/>
          <w:bCs/>
          <w:snapToGrid w:val="0"/>
          <w:sz w:val="20"/>
        </w:rPr>
        <w:t xml:space="preserve">, a valle della quale si stima </w:t>
      </w:r>
      <w:r w:rsidRPr="00020B0B">
        <w:rPr>
          <w:rFonts w:ascii="Arial" w:hAnsi="Arial" w:cs="Arial"/>
          <w:bCs/>
          <w:snapToGrid w:val="0"/>
          <w:sz w:val="20"/>
        </w:rPr>
        <w:t xml:space="preserve">la probabilità di realizzo di tali maggiori flussi di </w:t>
      </w:r>
      <w:r>
        <w:rPr>
          <w:rFonts w:ascii="Arial" w:hAnsi="Arial" w:cs="Arial"/>
          <w:bCs/>
          <w:snapToGrid w:val="0"/>
          <w:sz w:val="20"/>
        </w:rPr>
        <w:t>cassa quale “meramente remota”.</w:t>
      </w:r>
    </w:p>
    <w:p w14:paraId="63960A46" w14:textId="2639B659" w:rsidR="00A40BC1" w:rsidRPr="00A40BC1" w:rsidRDefault="00020B0B" w:rsidP="00A40BC1">
      <w:pPr>
        <w:widowControl w:val="0"/>
        <w:tabs>
          <w:tab w:val="left" w:pos="204"/>
        </w:tabs>
        <w:spacing w:before="120" w:after="120"/>
        <w:jc w:val="both"/>
        <w:rPr>
          <w:rFonts w:ascii="Arial" w:hAnsi="Arial" w:cs="Arial"/>
          <w:bCs/>
          <w:snapToGrid w:val="0"/>
          <w:sz w:val="20"/>
        </w:rPr>
      </w:pPr>
      <w:r w:rsidRPr="00020B0B">
        <w:rPr>
          <w:rFonts w:ascii="Arial" w:hAnsi="Arial" w:cs="Arial"/>
          <w:bCs/>
          <w:snapToGrid w:val="0"/>
          <w:sz w:val="20"/>
        </w:rPr>
        <w:t xml:space="preserve">Conseguentemente, nel bilancio </w:t>
      </w:r>
      <w:r>
        <w:rPr>
          <w:rFonts w:ascii="Arial" w:hAnsi="Arial" w:cs="Arial"/>
          <w:bCs/>
          <w:snapToGrid w:val="0"/>
          <w:sz w:val="20"/>
        </w:rPr>
        <w:t xml:space="preserve">consolidato </w:t>
      </w:r>
      <w:r w:rsidRPr="00020B0B">
        <w:rPr>
          <w:rFonts w:ascii="Arial" w:hAnsi="Arial" w:cs="Arial"/>
          <w:bCs/>
          <w:snapToGrid w:val="0"/>
          <w:sz w:val="20"/>
        </w:rPr>
        <w:t xml:space="preserve">chiuso al 31 dicembre 2019 il Gruppo ha eliminato contabilmente la summenzionata parte di debito eccedente la percentuale di soddisfo, per Euro 41.169 mila, rilevando nella voce “Altri Proventi Finanziari” una corrispondente </w:t>
      </w:r>
      <w:r>
        <w:rPr>
          <w:rFonts w:ascii="Arial" w:hAnsi="Arial" w:cs="Arial"/>
          <w:bCs/>
          <w:snapToGrid w:val="0"/>
          <w:sz w:val="20"/>
        </w:rPr>
        <w:t>sopravvenienza attiva</w:t>
      </w:r>
      <w:r w:rsidRPr="00020B0B">
        <w:rPr>
          <w:rFonts w:ascii="Arial" w:hAnsi="Arial" w:cs="Arial"/>
          <w:bCs/>
          <w:snapToGrid w:val="0"/>
          <w:sz w:val="20"/>
        </w:rPr>
        <w:t>.</w:t>
      </w:r>
    </w:p>
    <w:p w14:paraId="25E36712" w14:textId="77777777" w:rsidR="00A40BC1" w:rsidRPr="00A40BC1" w:rsidRDefault="00A40BC1" w:rsidP="00A40BC1">
      <w:pPr>
        <w:widowControl w:val="0"/>
        <w:tabs>
          <w:tab w:val="left" w:pos="204"/>
        </w:tabs>
        <w:spacing w:before="120" w:after="120"/>
        <w:jc w:val="both"/>
        <w:rPr>
          <w:rFonts w:ascii="Arial" w:hAnsi="Arial" w:cs="Arial"/>
          <w:bCs/>
          <w:snapToGrid w:val="0"/>
          <w:sz w:val="20"/>
        </w:rPr>
      </w:pPr>
      <w:r>
        <w:rPr>
          <w:rFonts w:ascii="Arial" w:hAnsi="Arial" w:cs="Arial"/>
          <w:bCs/>
          <w:snapToGrid w:val="0"/>
          <w:sz w:val="20"/>
        </w:rPr>
        <w:t>T</w:t>
      </w:r>
      <w:r w:rsidRPr="00A40BC1">
        <w:rPr>
          <w:rFonts w:ascii="Arial" w:hAnsi="Arial" w:cs="Arial"/>
          <w:bCs/>
          <w:snapToGrid w:val="0"/>
          <w:sz w:val="20"/>
        </w:rPr>
        <w:t xml:space="preserve">ale gradazione di probabilità, trova altresì conferma negli esiti di un’analisi svolta dal consulente esterno PricewaterhouseCoopers Advisory S.p.A. (‘PWC’) in data 02 novembre 2020. </w:t>
      </w:r>
    </w:p>
    <w:p w14:paraId="1FF5E0C1" w14:textId="77777777" w:rsidR="00A40BC1" w:rsidRPr="00A40BC1" w:rsidRDefault="00A40BC1" w:rsidP="00A40BC1">
      <w:pPr>
        <w:widowControl w:val="0"/>
        <w:tabs>
          <w:tab w:val="left" w:pos="204"/>
        </w:tabs>
        <w:spacing w:before="120" w:after="120"/>
        <w:jc w:val="both"/>
        <w:rPr>
          <w:rFonts w:ascii="Arial" w:hAnsi="Arial" w:cs="Arial"/>
          <w:bCs/>
          <w:snapToGrid w:val="0"/>
          <w:sz w:val="20"/>
        </w:rPr>
      </w:pPr>
      <w:r w:rsidRPr="00A40BC1">
        <w:rPr>
          <w:rFonts w:ascii="Arial" w:hAnsi="Arial" w:cs="Arial"/>
          <w:bCs/>
          <w:snapToGrid w:val="0"/>
          <w:sz w:val="20"/>
        </w:rPr>
        <w:t>La voce proventi finanziari è pertanto composta da:</w:t>
      </w:r>
    </w:p>
    <w:p w14:paraId="36BBFCF8" w14:textId="58B502D7" w:rsidR="00A40BC1" w:rsidRPr="00A40BC1" w:rsidRDefault="00A40BC1" w:rsidP="00A40BC1">
      <w:pPr>
        <w:widowControl w:val="0"/>
        <w:numPr>
          <w:ilvl w:val="0"/>
          <w:numId w:val="47"/>
        </w:numPr>
        <w:tabs>
          <w:tab w:val="left" w:pos="204"/>
        </w:tabs>
        <w:spacing w:before="120" w:after="120"/>
        <w:jc w:val="both"/>
        <w:rPr>
          <w:rFonts w:ascii="Arial" w:hAnsi="Arial" w:cs="Arial"/>
          <w:snapToGrid w:val="0"/>
          <w:sz w:val="20"/>
        </w:rPr>
      </w:pPr>
      <w:r w:rsidRPr="00A40BC1">
        <w:rPr>
          <w:rFonts w:ascii="Arial" w:hAnsi="Arial" w:cs="Arial"/>
          <w:snapToGrid w:val="0"/>
          <w:sz w:val="20"/>
        </w:rPr>
        <w:t xml:space="preserve">41.169 </w:t>
      </w:r>
      <w:r w:rsidR="00FA68F4">
        <w:rPr>
          <w:rFonts w:ascii="Arial" w:hAnsi="Arial" w:cs="Arial"/>
          <w:i/>
          <w:snapToGrid w:val="0"/>
          <w:sz w:val="20"/>
        </w:rPr>
        <w:t>€/000</w:t>
      </w:r>
      <w:r w:rsidRPr="00A40BC1">
        <w:rPr>
          <w:rFonts w:ascii="Arial" w:hAnsi="Arial" w:cs="Arial"/>
          <w:i/>
          <w:snapToGrid w:val="0"/>
          <w:sz w:val="20"/>
        </w:rPr>
        <w:t xml:space="preserve"> </w:t>
      </w:r>
      <w:r w:rsidRPr="00A40BC1">
        <w:rPr>
          <w:rFonts w:ascii="Arial" w:hAnsi="Arial" w:cs="Arial"/>
          <w:snapToGrid w:val="0"/>
          <w:sz w:val="20"/>
        </w:rPr>
        <w:t>relativi allo stralcio calcolato sui debiti chirografari e nella misura della percentuale di falcidia stabilita nel piano. L’importo è principalmente attribuibile a:</w:t>
      </w:r>
    </w:p>
    <w:p w14:paraId="64E47A0D" w14:textId="333AD7A2" w:rsidR="00A40BC1" w:rsidRPr="00A40BC1" w:rsidRDefault="00A40BC1" w:rsidP="00A40BC1">
      <w:pPr>
        <w:widowControl w:val="0"/>
        <w:numPr>
          <w:ilvl w:val="0"/>
          <w:numId w:val="48"/>
        </w:numPr>
        <w:spacing w:before="120" w:after="120"/>
        <w:jc w:val="both"/>
        <w:rPr>
          <w:rFonts w:ascii="Arial" w:hAnsi="Arial" w:cs="Arial"/>
          <w:snapToGrid w:val="0"/>
          <w:sz w:val="20"/>
        </w:rPr>
      </w:pPr>
      <w:r w:rsidRPr="00A40BC1">
        <w:rPr>
          <w:rFonts w:ascii="Arial" w:hAnsi="Arial" w:cs="Arial"/>
          <w:snapToGrid w:val="0"/>
          <w:sz w:val="20"/>
        </w:rPr>
        <w:t xml:space="preserve">stralcio di 18.180 </w:t>
      </w:r>
      <w:r w:rsidR="00FA68F4">
        <w:rPr>
          <w:rFonts w:ascii="Arial" w:hAnsi="Arial" w:cs="Arial"/>
          <w:i/>
          <w:snapToGrid w:val="0"/>
          <w:sz w:val="20"/>
        </w:rPr>
        <w:t>€/000</w:t>
      </w:r>
      <w:r w:rsidRPr="00A40BC1">
        <w:rPr>
          <w:rFonts w:ascii="Arial" w:hAnsi="Arial" w:cs="Arial"/>
          <w:i/>
          <w:snapToGrid w:val="0"/>
          <w:sz w:val="20"/>
        </w:rPr>
        <w:t xml:space="preserve"> </w:t>
      </w:r>
      <w:r w:rsidRPr="00A40BC1">
        <w:rPr>
          <w:rFonts w:ascii="Arial" w:hAnsi="Arial" w:cs="Arial"/>
          <w:snapToGrid w:val="0"/>
          <w:sz w:val="20"/>
        </w:rPr>
        <w:t>relativi a debiti verso fornitori (classe 2, la cui percentuale di soddisfo è pari al 62,7%);</w:t>
      </w:r>
    </w:p>
    <w:p w14:paraId="2C2B3B43" w14:textId="736F4069" w:rsidR="00A40BC1" w:rsidRPr="00A40BC1" w:rsidRDefault="00A40BC1" w:rsidP="00A40BC1">
      <w:pPr>
        <w:widowControl w:val="0"/>
        <w:numPr>
          <w:ilvl w:val="0"/>
          <w:numId w:val="48"/>
        </w:numPr>
        <w:spacing w:before="120" w:after="120"/>
        <w:jc w:val="both"/>
        <w:rPr>
          <w:rFonts w:ascii="Arial" w:hAnsi="Arial" w:cs="Arial"/>
          <w:snapToGrid w:val="0"/>
          <w:sz w:val="20"/>
        </w:rPr>
      </w:pPr>
      <w:r w:rsidRPr="00A40BC1">
        <w:rPr>
          <w:rFonts w:ascii="Arial" w:hAnsi="Arial" w:cs="Arial"/>
          <w:snapToGrid w:val="0"/>
          <w:sz w:val="20"/>
        </w:rPr>
        <w:t xml:space="preserve">stralcio di 2.834 </w:t>
      </w:r>
      <w:r w:rsidR="00FA68F4">
        <w:rPr>
          <w:rFonts w:ascii="Arial" w:hAnsi="Arial" w:cs="Arial"/>
          <w:i/>
          <w:snapToGrid w:val="0"/>
          <w:sz w:val="20"/>
        </w:rPr>
        <w:t>€/000</w:t>
      </w:r>
      <w:r w:rsidRPr="00A40BC1">
        <w:rPr>
          <w:rFonts w:ascii="Arial" w:hAnsi="Arial" w:cs="Arial"/>
          <w:i/>
          <w:snapToGrid w:val="0"/>
          <w:sz w:val="20"/>
        </w:rPr>
        <w:t xml:space="preserve"> </w:t>
      </w:r>
      <w:r w:rsidRPr="00A40BC1">
        <w:rPr>
          <w:rFonts w:ascii="Arial" w:hAnsi="Arial" w:cs="Arial"/>
          <w:snapToGrid w:val="0"/>
          <w:sz w:val="20"/>
        </w:rPr>
        <w:t>relativi a debito verso MPS (classe 1, la cui percentuale di soddisfo è pari al</w:t>
      </w:r>
      <w:r w:rsidRPr="00A40BC1" w:rsidDel="000D1EA2">
        <w:rPr>
          <w:rFonts w:ascii="Arial" w:hAnsi="Arial" w:cs="Arial"/>
          <w:snapToGrid w:val="0"/>
          <w:sz w:val="20"/>
        </w:rPr>
        <w:t xml:space="preserve"> </w:t>
      </w:r>
      <w:r w:rsidRPr="00A40BC1">
        <w:rPr>
          <w:rFonts w:ascii="Arial" w:hAnsi="Arial" w:cs="Arial"/>
          <w:snapToGrid w:val="0"/>
          <w:sz w:val="20"/>
        </w:rPr>
        <w:t>58%);</w:t>
      </w:r>
    </w:p>
    <w:p w14:paraId="118D3A75" w14:textId="0E06DED4" w:rsidR="00A40BC1" w:rsidRPr="00A40BC1" w:rsidRDefault="00A40BC1" w:rsidP="00A40BC1">
      <w:pPr>
        <w:widowControl w:val="0"/>
        <w:numPr>
          <w:ilvl w:val="0"/>
          <w:numId w:val="48"/>
        </w:numPr>
        <w:spacing w:before="120" w:after="120"/>
        <w:jc w:val="both"/>
        <w:rPr>
          <w:rFonts w:ascii="Arial" w:hAnsi="Arial" w:cs="Arial"/>
          <w:snapToGrid w:val="0"/>
          <w:sz w:val="20"/>
        </w:rPr>
      </w:pPr>
      <w:r w:rsidRPr="00A40BC1">
        <w:rPr>
          <w:rFonts w:ascii="Arial" w:hAnsi="Arial" w:cs="Arial"/>
          <w:snapToGrid w:val="0"/>
          <w:sz w:val="20"/>
        </w:rPr>
        <w:t xml:space="preserve">stralcio di 43 </w:t>
      </w:r>
      <w:r w:rsidR="00FA68F4">
        <w:rPr>
          <w:rFonts w:ascii="Arial" w:hAnsi="Arial" w:cs="Arial"/>
          <w:i/>
          <w:snapToGrid w:val="0"/>
          <w:sz w:val="20"/>
        </w:rPr>
        <w:t>€/000</w:t>
      </w:r>
      <w:r w:rsidRPr="00A40BC1">
        <w:rPr>
          <w:rFonts w:ascii="Arial" w:hAnsi="Arial" w:cs="Arial"/>
          <w:i/>
          <w:snapToGrid w:val="0"/>
          <w:sz w:val="20"/>
        </w:rPr>
        <w:t xml:space="preserve"> </w:t>
      </w:r>
      <w:r w:rsidRPr="00A40BC1">
        <w:rPr>
          <w:rFonts w:ascii="Arial" w:hAnsi="Arial" w:cs="Arial"/>
          <w:snapToGrid w:val="0"/>
          <w:sz w:val="20"/>
        </w:rPr>
        <w:t>relativi a debiti vari (classe 2, la cui percentuale di soddisfo è pari al</w:t>
      </w:r>
      <w:r w:rsidRPr="00A40BC1" w:rsidDel="000D1EA2">
        <w:rPr>
          <w:rFonts w:ascii="Arial" w:hAnsi="Arial" w:cs="Arial"/>
          <w:snapToGrid w:val="0"/>
          <w:sz w:val="20"/>
        </w:rPr>
        <w:t xml:space="preserve"> </w:t>
      </w:r>
      <w:r w:rsidRPr="00A40BC1">
        <w:rPr>
          <w:rFonts w:ascii="Arial" w:hAnsi="Arial" w:cs="Arial"/>
          <w:snapToGrid w:val="0"/>
          <w:sz w:val="20"/>
        </w:rPr>
        <w:t>62,7%);</w:t>
      </w:r>
    </w:p>
    <w:p w14:paraId="7208480F" w14:textId="389F2709" w:rsidR="00A40BC1" w:rsidRPr="00A40BC1" w:rsidRDefault="00A40BC1" w:rsidP="00A40BC1">
      <w:pPr>
        <w:widowControl w:val="0"/>
        <w:numPr>
          <w:ilvl w:val="0"/>
          <w:numId w:val="48"/>
        </w:numPr>
        <w:spacing w:before="120" w:after="120"/>
        <w:jc w:val="both"/>
        <w:rPr>
          <w:rFonts w:ascii="Arial" w:hAnsi="Arial" w:cs="Arial"/>
          <w:snapToGrid w:val="0"/>
          <w:sz w:val="20"/>
        </w:rPr>
      </w:pPr>
      <w:r w:rsidRPr="00A40BC1">
        <w:rPr>
          <w:rFonts w:ascii="Arial" w:hAnsi="Arial" w:cs="Arial"/>
          <w:snapToGrid w:val="0"/>
          <w:sz w:val="20"/>
        </w:rPr>
        <w:t xml:space="preserve">-stralcio di 334 </w:t>
      </w:r>
      <w:r w:rsidR="00FA68F4">
        <w:rPr>
          <w:rFonts w:ascii="Arial" w:hAnsi="Arial" w:cs="Arial"/>
          <w:i/>
          <w:snapToGrid w:val="0"/>
          <w:sz w:val="20"/>
        </w:rPr>
        <w:t>€/000</w:t>
      </w:r>
      <w:r w:rsidRPr="00A40BC1">
        <w:rPr>
          <w:rFonts w:ascii="Arial" w:hAnsi="Arial" w:cs="Arial"/>
          <w:i/>
          <w:snapToGrid w:val="0"/>
          <w:sz w:val="20"/>
        </w:rPr>
        <w:t xml:space="preserve"> </w:t>
      </w:r>
      <w:r w:rsidRPr="00A40BC1">
        <w:rPr>
          <w:rFonts w:ascii="Arial" w:hAnsi="Arial" w:cs="Arial"/>
          <w:snapToGrid w:val="0"/>
          <w:sz w:val="20"/>
        </w:rPr>
        <w:t>relativi al fondo franchigia e in particolare alla debenza per sinistri verso Allianz (classe 2, la cui percentuale di soddisfo è pari al</w:t>
      </w:r>
      <w:r w:rsidRPr="00A40BC1" w:rsidDel="000D1EA2">
        <w:rPr>
          <w:rFonts w:ascii="Arial" w:hAnsi="Arial" w:cs="Arial"/>
          <w:snapToGrid w:val="0"/>
          <w:sz w:val="20"/>
        </w:rPr>
        <w:t xml:space="preserve"> </w:t>
      </w:r>
      <w:r w:rsidRPr="00A40BC1">
        <w:rPr>
          <w:rFonts w:ascii="Arial" w:hAnsi="Arial" w:cs="Arial"/>
          <w:snapToGrid w:val="0"/>
          <w:sz w:val="20"/>
        </w:rPr>
        <w:t>62,7%);</w:t>
      </w:r>
    </w:p>
    <w:p w14:paraId="42C15213" w14:textId="15A3AB58" w:rsidR="00A40BC1" w:rsidRPr="00A40BC1" w:rsidRDefault="00A40BC1" w:rsidP="00A40BC1">
      <w:pPr>
        <w:widowControl w:val="0"/>
        <w:numPr>
          <w:ilvl w:val="0"/>
          <w:numId w:val="48"/>
        </w:numPr>
        <w:spacing w:before="120" w:after="120"/>
        <w:jc w:val="both"/>
        <w:rPr>
          <w:rFonts w:ascii="Arial" w:hAnsi="Arial" w:cs="Arial"/>
          <w:snapToGrid w:val="0"/>
          <w:sz w:val="20"/>
        </w:rPr>
      </w:pPr>
      <w:r w:rsidRPr="00A40BC1">
        <w:rPr>
          <w:rFonts w:ascii="Arial" w:hAnsi="Arial" w:cs="Arial"/>
          <w:snapToGrid w:val="0"/>
          <w:sz w:val="20"/>
        </w:rPr>
        <w:t xml:space="preserve">stralcio di 4.505 </w:t>
      </w:r>
      <w:r w:rsidR="00FA68F4">
        <w:rPr>
          <w:rFonts w:ascii="Arial" w:hAnsi="Arial" w:cs="Arial"/>
          <w:i/>
          <w:snapToGrid w:val="0"/>
          <w:sz w:val="20"/>
        </w:rPr>
        <w:t>€/000</w:t>
      </w:r>
      <w:r w:rsidRPr="00A40BC1">
        <w:rPr>
          <w:rFonts w:ascii="Arial" w:hAnsi="Arial" w:cs="Arial"/>
          <w:i/>
          <w:snapToGrid w:val="0"/>
          <w:sz w:val="20"/>
        </w:rPr>
        <w:t xml:space="preserve"> </w:t>
      </w:r>
      <w:r w:rsidRPr="00A40BC1">
        <w:rPr>
          <w:rFonts w:ascii="Arial" w:hAnsi="Arial" w:cs="Arial"/>
          <w:snapToGrid w:val="0"/>
          <w:sz w:val="20"/>
        </w:rPr>
        <w:t>relativi principalmente al fondo rischi contenzioso civile già accantonato parzialmente per la sentenza avverso Regione Campania nei precedenti esercizi (classe 2, la cui percentuale di soddisfo è pari al</w:t>
      </w:r>
      <w:r w:rsidRPr="00A40BC1" w:rsidDel="000D1EA2">
        <w:rPr>
          <w:rFonts w:ascii="Arial" w:hAnsi="Arial" w:cs="Arial"/>
          <w:snapToGrid w:val="0"/>
          <w:sz w:val="20"/>
        </w:rPr>
        <w:t xml:space="preserve"> </w:t>
      </w:r>
      <w:r w:rsidRPr="00A40BC1">
        <w:rPr>
          <w:rFonts w:ascii="Arial" w:hAnsi="Arial" w:cs="Arial"/>
          <w:snapToGrid w:val="0"/>
          <w:sz w:val="20"/>
        </w:rPr>
        <w:t>62,7%);</w:t>
      </w:r>
    </w:p>
    <w:p w14:paraId="0D7668AA" w14:textId="31E0CDA2" w:rsidR="00A40BC1" w:rsidRPr="00A40BC1" w:rsidRDefault="00A40BC1" w:rsidP="00A40BC1">
      <w:pPr>
        <w:widowControl w:val="0"/>
        <w:numPr>
          <w:ilvl w:val="0"/>
          <w:numId w:val="48"/>
        </w:numPr>
        <w:spacing w:before="120" w:after="120"/>
        <w:jc w:val="both"/>
        <w:rPr>
          <w:rFonts w:ascii="Arial" w:hAnsi="Arial" w:cs="Arial"/>
          <w:snapToGrid w:val="0"/>
          <w:sz w:val="20"/>
        </w:rPr>
      </w:pPr>
      <w:r w:rsidRPr="00A40BC1">
        <w:rPr>
          <w:rFonts w:ascii="Arial" w:hAnsi="Arial" w:cs="Arial"/>
          <w:snapToGrid w:val="0"/>
          <w:sz w:val="20"/>
        </w:rPr>
        <w:t xml:space="preserve">stralcio di 15.272 </w:t>
      </w:r>
      <w:r w:rsidR="00FA68F4">
        <w:rPr>
          <w:rFonts w:ascii="Arial" w:hAnsi="Arial" w:cs="Arial"/>
          <w:i/>
          <w:snapToGrid w:val="0"/>
          <w:sz w:val="20"/>
        </w:rPr>
        <w:t>€/000</w:t>
      </w:r>
      <w:r w:rsidRPr="00A40BC1">
        <w:rPr>
          <w:rFonts w:ascii="Arial" w:hAnsi="Arial" w:cs="Arial"/>
          <w:i/>
          <w:snapToGrid w:val="0"/>
          <w:sz w:val="20"/>
        </w:rPr>
        <w:t xml:space="preserve"> </w:t>
      </w:r>
      <w:r w:rsidRPr="00A40BC1">
        <w:rPr>
          <w:rFonts w:ascii="Arial" w:hAnsi="Arial" w:cs="Arial"/>
          <w:snapToGrid w:val="0"/>
          <w:sz w:val="20"/>
        </w:rPr>
        <w:t xml:space="preserve">relativo ai debiti postergati verso il Comune di Napoli e Napoli Holding S.r.l. </w:t>
      </w:r>
    </w:p>
    <w:p w14:paraId="1299F95C" w14:textId="183D82FD" w:rsidR="00A40BC1" w:rsidRPr="00A40BC1" w:rsidRDefault="00A40BC1" w:rsidP="00A40BC1">
      <w:pPr>
        <w:widowControl w:val="0"/>
        <w:numPr>
          <w:ilvl w:val="0"/>
          <w:numId w:val="47"/>
        </w:numPr>
        <w:tabs>
          <w:tab w:val="left" w:pos="204"/>
        </w:tabs>
        <w:spacing w:before="120" w:after="120"/>
        <w:jc w:val="both"/>
        <w:rPr>
          <w:rFonts w:ascii="Arial" w:hAnsi="Arial" w:cs="Arial"/>
          <w:snapToGrid w:val="0"/>
          <w:sz w:val="20"/>
        </w:rPr>
      </w:pPr>
      <w:r w:rsidRPr="00A40BC1">
        <w:rPr>
          <w:rFonts w:ascii="Arial" w:hAnsi="Arial" w:cs="Arial"/>
          <w:snapToGrid w:val="0"/>
          <w:sz w:val="20"/>
        </w:rPr>
        <w:t xml:space="preserve">48 </w:t>
      </w:r>
      <w:r w:rsidR="00FA68F4">
        <w:rPr>
          <w:rFonts w:ascii="Arial" w:hAnsi="Arial" w:cs="Arial"/>
          <w:i/>
          <w:snapToGrid w:val="0"/>
          <w:sz w:val="20"/>
        </w:rPr>
        <w:t>€/000</w:t>
      </w:r>
      <w:r w:rsidRPr="00A40BC1">
        <w:rPr>
          <w:rFonts w:ascii="Arial" w:hAnsi="Arial" w:cs="Arial"/>
          <w:i/>
          <w:snapToGrid w:val="0"/>
          <w:sz w:val="20"/>
        </w:rPr>
        <w:t xml:space="preserve"> </w:t>
      </w:r>
      <w:r w:rsidRPr="00A40BC1">
        <w:rPr>
          <w:rFonts w:ascii="Arial" w:hAnsi="Arial" w:cs="Arial"/>
          <w:snapToGrid w:val="0"/>
          <w:sz w:val="20"/>
        </w:rPr>
        <w:t>relativi principalmente ad interessi attivi su conti correnti bancari.</w:t>
      </w:r>
    </w:p>
    <w:p w14:paraId="37FFE95B" w14:textId="77777777" w:rsidR="00EE4AF0" w:rsidRPr="0036623E" w:rsidRDefault="00EE4AF0" w:rsidP="002D4D1D">
      <w:pPr>
        <w:widowControl w:val="0"/>
        <w:shd w:val="clear" w:color="auto" w:fill="F3F3F3"/>
        <w:tabs>
          <w:tab w:val="left" w:pos="1560"/>
          <w:tab w:val="left" w:pos="7766"/>
        </w:tabs>
        <w:spacing w:before="120" w:after="120"/>
        <w:jc w:val="both"/>
        <w:rPr>
          <w:rFonts w:ascii="Arial" w:hAnsi="Arial" w:cs="Arial"/>
          <w:b/>
          <w:snapToGrid w:val="0"/>
          <w:sz w:val="20"/>
        </w:rPr>
      </w:pPr>
      <w:r w:rsidRPr="0036623E">
        <w:rPr>
          <w:rFonts w:ascii="Arial" w:hAnsi="Arial" w:cs="Arial"/>
          <w:b/>
          <w:bCs/>
          <w:sz w:val="20"/>
        </w:rPr>
        <w:t>5. ELENCO DELLE PARTECIPAZIONI (ART. 2427 co. 1 n. 5)</w:t>
      </w:r>
    </w:p>
    <w:p w14:paraId="6FA824F8" w14:textId="77777777" w:rsidR="00E26328" w:rsidRPr="0036623E" w:rsidRDefault="005A5703" w:rsidP="002D4D1D">
      <w:pPr>
        <w:widowControl w:val="0"/>
        <w:tabs>
          <w:tab w:val="left" w:pos="204"/>
        </w:tabs>
        <w:spacing w:before="120" w:after="120"/>
        <w:jc w:val="both"/>
        <w:rPr>
          <w:rFonts w:ascii="Arial" w:hAnsi="Arial" w:cs="Arial"/>
          <w:snapToGrid w:val="0"/>
          <w:sz w:val="20"/>
        </w:rPr>
      </w:pPr>
      <w:r w:rsidRPr="0036623E">
        <w:rPr>
          <w:rFonts w:ascii="Arial" w:hAnsi="Arial" w:cs="Arial"/>
          <w:snapToGrid w:val="0"/>
          <w:sz w:val="20"/>
        </w:rPr>
        <w:t xml:space="preserve">Le informazioni in merito alle </w:t>
      </w:r>
      <w:r w:rsidR="00E26328" w:rsidRPr="0036623E">
        <w:rPr>
          <w:rFonts w:ascii="Arial" w:hAnsi="Arial" w:cs="Arial"/>
          <w:snapToGrid w:val="0"/>
          <w:sz w:val="20"/>
        </w:rPr>
        <w:t xml:space="preserve">partecipazioni possedute direttamente in imprese collegate ed altre imprese </w:t>
      </w:r>
      <w:r w:rsidRPr="0036623E">
        <w:rPr>
          <w:rFonts w:ascii="Arial" w:hAnsi="Arial" w:cs="Arial"/>
          <w:snapToGrid w:val="0"/>
          <w:sz w:val="20"/>
        </w:rPr>
        <w:t xml:space="preserve">sono riportate </w:t>
      </w:r>
      <w:r w:rsidR="003D4D06" w:rsidRPr="0036623E">
        <w:rPr>
          <w:rFonts w:ascii="Arial" w:hAnsi="Arial" w:cs="Arial"/>
          <w:snapToGrid w:val="0"/>
          <w:sz w:val="20"/>
        </w:rPr>
        <w:t>nel paragrafo dedicato alle immobilizzazioni finanziarie</w:t>
      </w:r>
      <w:r w:rsidR="00E26328" w:rsidRPr="0036623E">
        <w:rPr>
          <w:rFonts w:ascii="Arial" w:hAnsi="Arial" w:cs="Arial"/>
          <w:snapToGrid w:val="0"/>
          <w:sz w:val="20"/>
        </w:rPr>
        <w:t>.</w:t>
      </w:r>
    </w:p>
    <w:p w14:paraId="209F20ED" w14:textId="77777777" w:rsidR="00EE4AF0" w:rsidRPr="0036623E" w:rsidRDefault="00EE4AF0" w:rsidP="002D4D1D">
      <w:pPr>
        <w:widowControl w:val="0"/>
        <w:shd w:val="clear" w:color="auto" w:fill="F3F3F3"/>
        <w:tabs>
          <w:tab w:val="left" w:pos="7766"/>
        </w:tabs>
        <w:spacing w:before="120" w:after="120"/>
        <w:rPr>
          <w:rFonts w:ascii="Arial" w:hAnsi="Arial" w:cs="Arial"/>
          <w:b/>
          <w:snapToGrid w:val="0"/>
          <w:sz w:val="20"/>
        </w:rPr>
      </w:pPr>
      <w:r w:rsidRPr="0036623E">
        <w:rPr>
          <w:rFonts w:ascii="Arial" w:hAnsi="Arial" w:cs="Arial"/>
          <w:b/>
          <w:snapToGrid w:val="0"/>
          <w:sz w:val="20"/>
        </w:rPr>
        <w:t>6. CREDITI E DEBITI DI DURATA RESIDUA SUPERIORE A CINQUE ANNI – DEBITI ASSIS</w:t>
      </w:r>
      <w:r w:rsidR="007E5349" w:rsidRPr="0036623E">
        <w:rPr>
          <w:rFonts w:ascii="Arial" w:hAnsi="Arial" w:cs="Arial"/>
          <w:b/>
          <w:snapToGrid w:val="0"/>
          <w:sz w:val="20"/>
        </w:rPr>
        <w:t>TITI DA GARANZIE RE</w:t>
      </w:r>
      <w:r w:rsidRPr="0036623E">
        <w:rPr>
          <w:rFonts w:ascii="Arial" w:hAnsi="Arial" w:cs="Arial"/>
          <w:b/>
          <w:snapToGrid w:val="0"/>
          <w:sz w:val="20"/>
        </w:rPr>
        <w:t>ALI (ART. 2427 co.1 n. 6)</w:t>
      </w:r>
    </w:p>
    <w:p w14:paraId="13BEEE0E" w14:textId="34024356" w:rsidR="00EE4AF0" w:rsidRPr="0036623E" w:rsidRDefault="007E5349" w:rsidP="002D4D1D">
      <w:pPr>
        <w:widowControl w:val="0"/>
        <w:ind w:right="1"/>
        <w:jc w:val="both"/>
        <w:rPr>
          <w:rFonts w:ascii="Arial" w:hAnsi="Arial" w:cs="Arial"/>
          <w:snapToGrid w:val="0"/>
          <w:sz w:val="20"/>
        </w:rPr>
      </w:pPr>
      <w:r w:rsidRPr="0036623E">
        <w:rPr>
          <w:rFonts w:ascii="Arial" w:hAnsi="Arial" w:cs="Arial"/>
          <w:snapToGrid w:val="0"/>
          <w:sz w:val="20"/>
        </w:rPr>
        <w:t xml:space="preserve">Non esistono crediti </w:t>
      </w:r>
      <w:r w:rsidR="001C5C38">
        <w:rPr>
          <w:rFonts w:ascii="Arial" w:hAnsi="Arial" w:cs="Arial"/>
          <w:snapToGrid w:val="0"/>
          <w:sz w:val="20"/>
        </w:rPr>
        <w:t xml:space="preserve">di durata </w:t>
      </w:r>
      <w:r w:rsidRPr="0036623E">
        <w:rPr>
          <w:rFonts w:ascii="Arial" w:hAnsi="Arial" w:cs="Arial"/>
          <w:snapToGrid w:val="0"/>
          <w:sz w:val="20"/>
        </w:rPr>
        <w:t>superior</w:t>
      </w:r>
      <w:r w:rsidR="001C5C38">
        <w:rPr>
          <w:rFonts w:ascii="Arial" w:hAnsi="Arial" w:cs="Arial"/>
          <w:snapToGrid w:val="0"/>
          <w:sz w:val="20"/>
        </w:rPr>
        <w:t>e</w:t>
      </w:r>
      <w:r w:rsidR="00EE4AF0" w:rsidRPr="0036623E">
        <w:rPr>
          <w:rFonts w:ascii="Arial" w:hAnsi="Arial" w:cs="Arial"/>
          <w:snapToGrid w:val="0"/>
          <w:sz w:val="20"/>
        </w:rPr>
        <w:t xml:space="preserve"> a cinque anni; nell’ambito dei debiti di durata residua superiore ai cinque a</w:t>
      </w:r>
      <w:r w:rsidR="00EE5156" w:rsidRPr="0036623E">
        <w:rPr>
          <w:rFonts w:ascii="Arial" w:hAnsi="Arial" w:cs="Arial"/>
          <w:snapToGrid w:val="0"/>
          <w:sz w:val="20"/>
        </w:rPr>
        <w:t>nni si rileva la quota parte dei mutui d</w:t>
      </w:r>
      <w:r w:rsidR="00140164">
        <w:rPr>
          <w:rFonts w:ascii="Arial" w:hAnsi="Arial" w:cs="Arial"/>
          <w:snapToGrid w:val="0"/>
          <w:sz w:val="20"/>
        </w:rPr>
        <w:t>e</w:t>
      </w:r>
      <w:r w:rsidR="00EE5156" w:rsidRPr="0036623E">
        <w:rPr>
          <w:rFonts w:ascii="Arial" w:hAnsi="Arial" w:cs="Arial"/>
          <w:snapToGrid w:val="0"/>
          <w:sz w:val="20"/>
        </w:rPr>
        <w:t>lla controllata per l’acquisto degli immobili destinati a</w:t>
      </w:r>
      <w:r w:rsidR="00075ACE" w:rsidRPr="0036623E">
        <w:rPr>
          <w:rFonts w:ascii="Arial" w:hAnsi="Arial" w:cs="Arial"/>
          <w:snapToGrid w:val="0"/>
          <w:sz w:val="20"/>
        </w:rPr>
        <w:t>ll</w:t>
      </w:r>
      <w:r w:rsidR="001C5C38">
        <w:rPr>
          <w:rFonts w:ascii="Arial" w:hAnsi="Arial" w:cs="Arial"/>
          <w:snapToGrid w:val="0"/>
          <w:sz w:val="20"/>
        </w:rPr>
        <w:t>’</w:t>
      </w:r>
      <w:r w:rsidR="00ED508E" w:rsidRPr="0036623E">
        <w:rPr>
          <w:rFonts w:ascii="Arial" w:hAnsi="Arial" w:cs="Arial"/>
          <w:snapToGrid w:val="0"/>
          <w:sz w:val="20"/>
        </w:rPr>
        <w:t xml:space="preserve">ex </w:t>
      </w:r>
      <w:r w:rsidR="00F45BFF" w:rsidRPr="0036623E">
        <w:rPr>
          <w:rFonts w:ascii="Arial" w:hAnsi="Arial" w:cs="Arial"/>
          <w:snapToGrid w:val="0"/>
          <w:sz w:val="20"/>
        </w:rPr>
        <w:t>se</w:t>
      </w:r>
      <w:r w:rsidR="001C5C38">
        <w:rPr>
          <w:rFonts w:ascii="Arial" w:hAnsi="Arial" w:cs="Arial"/>
          <w:snapToGrid w:val="0"/>
          <w:sz w:val="20"/>
        </w:rPr>
        <w:t>de</w:t>
      </w:r>
      <w:r w:rsidR="00F45BFF" w:rsidRPr="0036623E">
        <w:rPr>
          <w:rFonts w:ascii="Arial" w:hAnsi="Arial" w:cs="Arial"/>
          <w:snapToGrid w:val="0"/>
          <w:sz w:val="20"/>
        </w:rPr>
        <w:t xml:space="preserve"> </w:t>
      </w:r>
      <w:r w:rsidR="00A40BC1" w:rsidRPr="0036623E">
        <w:rPr>
          <w:rFonts w:ascii="Arial" w:hAnsi="Arial" w:cs="Arial"/>
          <w:snapToGrid w:val="0"/>
          <w:sz w:val="20"/>
        </w:rPr>
        <w:t>social</w:t>
      </w:r>
      <w:r w:rsidR="001C5C38">
        <w:rPr>
          <w:rFonts w:ascii="Arial" w:hAnsi="Arial" w:cs="Arial"/>
          <w:snapToGrid w:val="0"/>
          <w:sz w:val="20"/>
        </w:rPr>
        <w:t>e</w:t>
      </w:r>
      <w:r w:rsidR="00A40BC1" w:rsidRPr="0036623E">
        <w:rPr>
          <w:rFonts w:ascii="Arial" w:hAnsi="Arial" w:cs="Arial"/>
          <w:snapToGrid w:val="0"/>
          <w:sz w:val="20"/>
        </w:rPr>
        <w:t xml:space="preserve"> delle</w:t>
      </w:r>
      <w:r w:rsidR="00EE4AF0" w:rsidRPr="0036623E">
        <w:rPr>
          <w:rFonts w:ascii="Arial" w:hAnsi="Arial" w:cs="Arial"/>
          <w:snapToGrid w:val="0"/>
          <w:sz w:val="20"/>
        </w:rPr>
        <w:t xml:space="preserve"> società</w:t>
      </w:r>
      <w:r w:rsidR="00EE5156" w:rsidRPr="0036623E">
        <w:rPr>
          <w:rFonts w:ascii="Arial" w:hAnsi="Arial" w:cs="Arial"/>
          <w:snapToGrid w:val="0"/>
          <w:sz w:val="20"/>
        </w:rPr>
        <w:t>,</w:t>
      </w:r>
      <w:r w:rsidR="00EE4AF0" w:rsidRPr="0036623E">
        <w:rPr>
          <w:rFonts w:ascii="Arial" w:hAnsi="Arial" w:cs="Arial"/>
          <w:snapToGrid w:val="0"/>
          <w:sz w:val="20"/>
        </w:rPr>
        <w:t xml:space="preserve"> </w:t>
      </w:r>
      <w:r w:rsidR="00EE5156" w:rsidRPr="0036623E">
        <w:rPr>
          <w:rFonts w:ascii="Arial" w:hAnsi="Arial" w:cs="Arial"/>
          <w:snapToGrid w:val="0"/>
          <w:sz w:val="20"/>
        </w:rPr>
        <w:t>garantiti da ipoteca sugli immobili</w:t>
      </w:r>
      <w:r w:rsidR="00EE4AF0" w:rsidRPr="0036623E">
        <w:rPr>
          <w:rFonts w:ascii="Arial" w:hAnsi="Arial" w:cs="Arial"/>
          <w:snapToGrid w:val="0"/>
          <w:sz w:val="20"/>
        </w:rPr>
        <w:t>.</w:t>
      </w:r>
    </w:p>
    <w:p w14:paraId="1EBF4D47" w14:textId="77777777" w:rsidR="00EE4AF0" w:rsidRPr="0036623E" w:rsidRDefault="00EE4AF0" w:rsidP="002D4D1D">
      <w:pPr>
        <w:widowControl w:val="0"/>
        <w:spacing w:after="120"/>
        <w:jc w:val="both"/>
        <w:rPr>
          <w:rFonts w:ascii="Arial" w:hAnsi="Arial" w:cs="Arial"/>
          <w:sz w:val="20"/>
        </w:rPr>
      </w:pPr>
      <w:r w:rsidRPr="0036623E">
        <w:rPr>
          <w:rFonts w:ascii="Arial" w:hAnsi="Arial" w:cs="Arial"/>
          <w:sz w:val="20"/>
        </w:rPr>
        <w:t>I debiti e i crediti dell’esercizio sono relativi tutti all’area geografica Italia.</w:t>
      </w:r>
    </w:p>
    <w:p w14:paraId="2C046D7E" w14:textId="77777777" w:rsidR="00EE4AF0" w:rsidRPr="0036623E" w:rsidRDefault="00EE4AF0" w:rsidP="002D4D1D">
      <w:pPr>
        <w:widowControl w:val="0"/>
        <w:shd w:val="clear" w:color="auto" w:fill="F3F3F3"/>
        <w:tabs>
          <w:tab w:val="left" w:pos="7766"/>
        </w:tabs>
        <w:spacing w:before="120" w:after="120"/>
        <w:rPr>
          <w:rFonts w:ascii="Arial" w:hAnsi="Arial" w:cs="Arial"/>
          <w:b/>
          <w:snapToGrid w:val="0"/>
          <w:sz w:val="20"/>
        </w:rPr>
      </w:pPr>
      <w:r w:rsidRPr="0036623E">
        <w:rPr>
          <w:rFonts w:ascii="Arial" w:hAnsi="Arial" w:cs="Arial"/>
          <w:b/>
          <w:snapToGrid w:val="0"/>
          <w:sz w:val="20"/>
        </w:rPr>
        <w:lastRenderedPageBreak/>
        <w:t>6Bis. VARIAZIONI SIGNIFICATIVE DEI CAMBI VALUTARI (ART. 2427 co. 1 n. 6-BIS)</w:t>
      </w:r>
    </w:p>
    <w:p w14:paraId="40E9464D" w14:textId="77777777" w:rsidR="00EE4AF0" w:rsidRPr="0036623E" w:rsidRDefault="00EE4AF0" w:rsidP="002D4D1D">
      <w:pPr>
        <w:widowControl w:val="0"/>
        <w:spacing w:before="120" w:after="120"/>
        <w:jc w:val="both"/>
        <w:rPr>
          <w:rFonts w:ascii="Arial" w:hAnsi="Arial" w:cs="Arial"/>
          <w:snapToGrid w:val="0"/>
          <w:sz w:val="20"/>
        </w:rPr>
      </w:pPr>
      <w:r w:rsidRPr="0036623E">
        <w:rPr>
          <w:rFonts w:ascii="Arial" w:hAnsi="Arial" w:cs="Arial"/>
          <w:snapToGrid w:val="0"/>
          <w:sz w:val="20"/>
        </w:rPr>
        <w:t>Non sussistono.</w:t>
      </w:r>
    </w:p>
    <w:p w14:paraId="503AD568" w14:textId="77777777" w:rsidR="00EE4AF0" w:rsidRPr="0036623E" w:rsidRDefault="00EE4AF0" w:rsidP="002D4D1D">
      <w:pPr>
        <w:widowControl w:val="0"/>
        <w:shd w:val="clear" w:color="auto" w:fill="F3F3F3"/>
        <w:tabs>
          <w:tab w:val="left" w:pos="7766"/>
        </w:tabs>
        <w:spacing w:before="120" w:after="120"/>
        <w:jc w:val="both"/>
        <w:rPr>
          <w:rFonts w:ascii="Arial" w:hAnsi="Arial" w:cs="Arial"/>
          <w:b/>
          <w:bCs/>
          <w:snapToGrid w:val="0"/>
          <w:sz w:val="20"/>
        </w:rPr>
      </w:pPr>
      <w:r w:rsidRPr="0036623E">
        <w:rPr>
          <w:rFonts w:ascii="Arial" w:hAnsi="Arial" w:cs="Arial"/>
          <w:b/>
          <w:snapToGrid w:val="0"/>
          <w:sz w:val="20"/>
        </w:rPr>
        <w:t>6Ter. OPERAZIONI CON OBBLIGO DI RETROCESSIONE A TERMINE (ART. 2427 CO. 1 N. 6-TER)</w:t>
      </w:r>
    </w:p>
    <w:p w14:paraId="7C19E406" w14:textId="77777777" w:rsidR="00EE4AF0" w:rsidRPr="0036623E" w:rsidRDefault="00EE4AF0" w:rsidP="002D4D1D">
      <w:pPr>
        <w:widowControl w:val="0"/>
        <w:spacing w:before="120" w:after="120"/>
        <w:jc w:val="both"/>
        <w:rPr>
          <w:rFonts w:ascii="Arial" w:hAnsi="Arial" w:cs="Arial"/>
          <w:snapToGrid w:val="0"/>
          <w:sz w:val="20"/>
        </w:rPr>
      </w:pPr>
      <w:r w:rsidRPr="0036623E">
        <w:rPr>
          <w:rFonts w:ascii="Arial" w:hAnsi="Arial" w:cs="Arial"/>
          <w:snapToGrid w:val="0"/>
          <w:sz w:val="20"/>
        </w:rPr>
        <w:t>Non sussistono.</w:t>
      </w:r>
    </w:p>
    <w:p w14:paraId="084DB3F1" w14:textId="77777777" w:rsidR="00EE4AF0" w:rsidRPr="0036623E" w:rsidRDefault="00EE4AF0" w:rsidP="002D4D1D">
      <w:pPr>
        <w:widowControl w:val="0"/>
        <w:shd w:val="clear" w:color="auto" w:fill="F3F3F3"/>
        <w:tabs>
          <w:tab w:val="left" w:pos="7766"/>
        </w:tabs>
        <w:spacing w:before="120" w:after="120"/>
        <w:jc w:val="both"/>
        <w:rPr>
          <w:rFonts w:ascii="Arial" w:hAnsi="Arial" w:cs="Arial"/>
          <w:b/>
          <w:snapToGrid w:val="0"/>
          <w:sz w:val="20"/>
        </w:rPr>
      </w:pPr>
      <w:r w:rsidRPr="0036623E">
        <w:rPr>
          <w:rFonts w:ascii="Arial" w:hAnsi="Arial" w:cs="Arial"/>
          <w:b/>
          <w:snapToGrid w:val="0"/>
          <w:sz w:val="20"/>
        </w:rPr>
        <w:t>7. RATEI E RISCONTI, ALTRI FONDI E ALTRE RISERVE (ART. 2427 co 1 n. 7)</w:t>
      </w:r>
    </w:p>
    <w:p w14:paraId="27FCDE79" w14:textId="77777777" w:rsidR="00FF399A" w:rsidRPr="0036623E" w:rsidRDefault="00D25E0F" w:rsidP="002D4D1D">
      <w:pPr>
        <w:widowControl w:val="0"/>
        <w:spacing w:before="120" w:after="120"/>
        <w:jc w:val="both"/>
        <w:rPr>
          <w:rFonts w:ascii="Arial" w:hAnsi="Arial" w:cs="Arial"/>
          <w:snapToGrid w:val="0"/>
          <w:sz w:val="20"/>
        </w:rPr>
      </w:pPr>
      <w:r w:rsidRPr="0036623E">
        <w:rPr>
          <w:rFonts w:ascii="Arial" w:hAnsi="Arial" w:cs="Arial"/>
          <w:snapToGrid w:val="0"/>
          <w:sz w:val="20"/>
        </w:rPr>
        <w:t>Per quanto riguarda l</w:t>
      </w:r>
      <w:r w:rsidR="00EE4AF0" w:rsidRPr="0036623E">
        <w:rPr>
          <w:rFonts w:ascii="Arial" w:hAnsi="Arial" w:cs="Arial"/>
          <w:snapToGrid w:val="0"/>
          <w:sz w:val="20"/>
        </w:rPr>
        <w:t>a voce “ratei e risconti” dell’attivo</w:t>
      </w:r>
      <w:r w:rsidRPr="0036623E">
        <w:rPr>
          <w:rFonts w:ascii="Arial" w:hAnsi="Arial" w:cs="Arial"/>
          <w:snapToGrid w:val="0"/>
          <w:sz w:val="20"/>
        </w:rPr>
        <w:t xml:space="preserve"> e del passivo patrimoniale si rinvia per il relativo commento alle sezioni specifiche di cui alla presente nota integrativa.</w:t>
      </w:r>
    </w:p>
    <w:p w14:paraId="2AEF8B18" w14:textId="77777777" w:rsidR="00592F20" w:rsidRPr="0036623E" w:rsidRDefault="00592F20" w:rsidP="002D4D1D">
      <w:pPr>
        <w:widowControl w:val="0"/>
        <w:spacing w:before="120" w:after="120"/>
        <w:jc w:val="both"/>
        <w:rPr>
          <w:rFonts w:ascii="Arial" w:hAnsi="Arial" w:cs="Arial"/>
          <w:snapToGrid w:val="0"/>
          <w:sz w:val="20"/>
        </w:rPr>
      </w:pPr>
      <w:r w:rsidRPr="0036623E">
        <w:rPr>
          <w:rFonts w:ascii="Arial" w:hAnsi="Arial" w:cs="Arial"/>
          <w:snapToGrid w:val="0"/>
          <w:sz w:val="20"/>
        </w:rPr>
        <w:t>Per quanto riguarda la composizione della voce “altri fondi” dello stato patrimoniale si rimanda alla sezione Fondi rischi ed oneri della presente nota integrativa.</w:t>
      </w:r>
    </w:p>
    <w:p w14:paraId="42B7E7F8" w14:textId="77777777" w:rsidR="00592F20" w:rsidRPr="0036623E" w:rsidRDefault="00592F20" w:rsidP="002D4D1D">
      <w:pPr>
        <w:widowControl w:val="0"/>
        <w:spacing w:before="120" w:after="120"/>
        <w:jc w:val="both"/>
        <w:rPr>
          <w:rFonts w:ascii="Arial" w:hAnsi="Arial" w:cs="Arial"/>
          <w:snapToGrid w:val="0"/>
          <w:sz w:val="20"/>
        </w:rPr>
      </w:pPr>
      <w:r w:rsidRPr="0036623E">
        <w:rPr>
          <w:rFonts w:ascii="Arial" w:hAnsi="Arial" w:cs="Arial"/>
          <w:snapToGrid w:val="0"/>
          <w:sz w:val="20"/>
        </w:rPr>
        <w:t xml:space="preserve">Per quanto riguarda la </w:t>
      </w:r>
      <w:r w:rsidR="00ED5704" w:rsidRPr="0036623E">
        <w:rPr>
          <w:rFonts w:ascii="Arial" w:hAnsi="Arial" w:cs="Arial"/>
          <w:snapToGrid w:val="0"/>
          <w:sz w:val="20"/>
        </w:rPr>
        <w:t>composizione</w:t>
      </w:r>
      <w:r w:rsidRPr="0036623E">
        <w:rPr>
          <w:rFonts w:ascii="Arial" w:hAnsi="Arial" w:cs="Arial"/>
          <w:snapToGrid w:val="0"/>
          <w:sz w:val="20"/>
        </w:rPr>
        <w:t xml:space="preserve"> della voce “altre riserve” del patrimonio netto si rimanda alla sezione specifica di cui alla presente nota integrativa.</w:t>
      </w:r>
    </w:p>
    <w:p w14:paraId="244ADD2D" w14:textId="77777777" w:rsidR="00EE4AF0" w:rsidRPr="0036623E" w:rsidRDefault="00EE4AF0" w:rsidP="002D4D1D">
      <w:pPr>
        <w:widowControl w:val="0"/>
        <w:shd w:val="clear" w:color="auto" w:fill="F3F3F3"/>
        <w:tabs>
          <w:tab w:val="left" w:pos="567"/>
          <w:tab w:val="left" w:pos="7766"/>
        </w:tabs>
        <w:spacing w:before="120" w:after="120"/>
        <w:rPr>
          <w:rFonts w:ascii="Arial" w:hAnsi="Arial" w:cs="Arial"/>
          <w:b/>
          <w:snapToGrid w:val="0"/>
          <w:sz w:val="20"/>
        </w:rPr>
      </w:pPr>
      <w:r w:rsidRPr="0036623E">
        <w:rPr>
          <w:rFonts w:ascii="Arial" w:hAnsi="Arial" w:cs="Arial"/>
          <w:b/>
          <w:snapToGrid w:val="0"/>
          <w:sz w:val="20"/>
        </w:rPr>
        <w:t>8. ONERI FINANZIARI CAPITALIZZATI (ART. 2427 co. 1 n. 8)</w:t>
      </w:r>
    </w:p>
    <w:p w14:paraId="6713D725" w14:textId="77777777" w:rsidR="00EE4AF0" w:rsidRPr="0036623E" w:rsidRDefault="00EE4AF0" w:rsidP="002D4D1D">
      <w:pPr>
        <w:widowControl w:val="0"/>
        <w:spacing w:before="120" w:after="120"/>
        <w:jc w:val="both"/>
        <w:rPr>
          <w:rFonts w:ascii="Arial" w:hAnsi="Arial" w:cs="Arial"/>
          <w:snapToGrid w:val="0"/>
          <w:sz w:val="20"/>
        </w:rPr>
      </w:pPr>
      <w:r w:rsidRPr="0036623E">
        <w:rPr>
          <w:rFonts w:ascii="Arial" w:hAnsi="Arial" w:cs="Arial"/>
          <w:snapToGrid w:val="0"/>
          <w:sz w:val="20"/>
        </w:rPr>
        <w:t>Non sussistono.</w:t>
      </w:r>
    </w:p>
    <w:p w14:paraId="7F31916F" w14:textId="77777777" w:rsidR="00EE4AF0" w:rsidRPr="0036623E" w:rsidRDefault="0089550D" w:rsidP="002D4D1D">
      <w:pPr>
        <w:widowControl w:val="0"/>
        <w:shd w:val="clear" w:color="auto" w:fill="F3F3F3"/>
        <w:tabs>
          <w:tab w:val="left" w:pos="567"/>
          <w:tab w:val="left" w:pos="7766"/>
        </w:tabs>
        <w:spacing w:before="120" w:after="120"/>
        <w:jc w:val="both"/>
        <w:rPr>
          <w:rFonts w:ascii="Arial" w:hAnsi="Arial" w:cs="Arial"/>
          <w:b/>
          <w:snapToGrid w:val="0"/>
          <w:sz w:val="20"/>
        </w:rPr>
      </w:pPr>
      <w:r w:rsidRPr="0036623E">
        <w:rPr>
          <w:rFonts w:ascii="Arial" w:hAnsi="Arial" w:cs="Arial"/>
          <w:b/>
          <w:snapToGrid w:val="0"/>
          <w:sz w:val="20"/>
        </w:rPr>
        <w:t>9</w:t>
      </w:r>
      <w:r w:rsidR="00EE4AF0" w:rsidRPr="0036623E">
        <w:rPr>
          <w:rFonts w:ascii="Arial" w:hAnsi="Arial" w:cs="Arial"/>
          <w:b/>
          <w:snapToGrid w:val="0"/>
          <w:sz w:val="20"/>
        </w:rPr>
        <w:t>. RIPARTIZIONE DEI RICAVI (ART. 2427 co 1 n. 10)</w:t>
      </w:r>
    </w:p>
    <w:p w14:paraId="2BA55E37" w14:textId="77777777" w:rsidR="00EE4AF0" w:rsidRPr="0036623E" w:rsidRDefault="00EE4AF0" w:rsidP="002D4D1D">
      <w:pPr>
        <w:widowControl w:val="0"/>
        <w:tabs>
          <w:tab w:val="left" w:pos="7088"/>
        </w:tabs>
        <w:spacing w:before="120" w:after="120"/>
        <w:jc w:val="both"/>
      </w:pPr>
      <w:r w:rsidRPr="0036623E">
        <w:rPr>
          <w:rFonts w:ascii="Arial" w:hAnsi="Arial" w:cs="Arial"/>
          <w:sz w:val="20"/>
        </w:rPr>
        <w:t>Il dettaglio è stato già fornito in precedenza.</w:t>
      </w:r>
      <w:r w:rsidRPr="0036623E">
        <w:t xml:space="preserve"> </w:t>
      </w:r>
      <w:r w:rsidRPr="0036623E">
        <w:rPr>
          <w:rFonts w:ascii="Arial" w:hAnsi="Arial" w:cs="Arial"/>
          <w:sz w:val="20"/>
        </w:rPr>
        <w:t>I ricavi sono tutti realizzati in Italia.</w:t>
      </w:r>
    </w:p>
    <w:p w14:paraId="021C2672" w14:textId="77777777" w:rsidR="00EE4AF0" w:rsidRPr="0036623E" w:rsidRDefault="0089550D" w:rsidP="002D4D1D">
      <w:pPr>
        <w:widowControl w:val="0"/>
        <w:shd w:val="clear" w:color="auto" w:fill="F3F3F3"/>
        <w:tabs>
          <w:tab w:val="left" w:pos="567"/>
          <w:tab w:val="left" w:pos="7088"/>
          <w:tab w:val="left" w:pos="7766"/>
        </w:tabs>
        <w:spacing w:before="240" w:after="120"/>
        <w:rPr>
          <w:rFonts w:ascii="Arial" w:hAnsi="Arial" w:cs="Arial"/>
          <w:b/>
          <w:snapToGrid w:val="0"/>
          <w:sz w:val="20"/>
        </w:rPr>
      </w:pPr>
      <w:r w:rsidRPr="0036623E">
        <w:rPr>
          <w:rFonts w:ascii="Arial" w:hAnsi="Arial" w:cs="Arial"/>
          <w:b/>
          <w:snapToGrid w:val="0"/>
          <w:sz w:val="20"/>
        </w:rPr>
        <w:t>10</w:t>
      </w:r>
      <w:r w:rsidR="00EE4AF0" w:rsidRPr="0036623E">
        <w:rPr>
          <w:rFonts w:ascii="Arial" w:hAnsi="Arial" w:cs="Arial"/>
          <w:b/>
          <w:snapToGrid w:val="0"/>
          <w:sz w:val="20"/>
        </w:rPr>
        <w:t xml:space="preserve"> PROVENTI DA PARTECIPAZIONI (ART. 2427 co. 1 n. 11)</w:t>
      </w:r>
    </w:p>
    <w:p w14:paraId="0CFB9B50" w14:textId="77777777" w:rsidR="00EE4AF0" w:rsidRPr="0036623E" w:rsidRDefault="00EE4AF0" w:rsidP="002D4D1D">
      <w:pPr>
        <w:widowControl w:val="0"/>
        <w:spacing w:before="60" w:after="60"/>
        <w:jc w:val="both"/>
        <w:rPr>
          <w:rFonts w:ascii="Arial" w:hAnsi="Arial" w:cs="Arial"/>
          <w:snapToGrid w:val="0"/>
          <w:sz w:val="20"/>
        </w:rPr>
      </w:pPr>
      <w:r w:rsidRPr="0036623E">
        <w:rPr>
          <w:rFonts w:ascii="Arial" w:hAnsi="Arial" w:cs="Arial"/>
          <w:snapToGrid w:val="0"/>
          <w:sz w:val="20"/>
        </w:rPr>
        <w:t>Non sussistono.</w:t>
      </w:r>
    </w:p>
    <w:p w14:paraId="2B8212E0" w14:textId="77777777" w:rsidR="00EE4AF0" w:rsidRPr="0036623E" w:rsidRDefault="0089550D" w:rsidP="002D4D1D">
      <w:pPr>
        <w:widowControl w:val="0"/>
        <w:shd w:val="clear" w:color="auto" w:fill="F3F3F3"/>
        <w:tabs>
          <w:tab w:val="left" w:pos="567"/>
          <w:tab w:val="left" w:pos="7766"/>
        </w:tabs>
        <w:spacing w:before="60" w:after="120"/>
        <w:rPr>
          <w:rFonts w:ascii="Arial" w:hAnsi="Arial" w:cs="Arial"/>
          <w:b/>
          <w:snapToGrid w:val="0"/>
          <w:sz w:val="20"/>
        </w:rPr>
      </w:pPr>
      <w:r w:rsidRPr="0036623E">
        <w:rPr>
          <w:rFonts w:ascii="Arial" w:hAnsi="Arial" w:cs="Arial"/>
          <w:b/>
          <w:snapToGrid w:val="0"/>
          <w:sz w:val="20"/>
        </w:rPr>
        <w:t>11</w:t>
      </w:r>
      <w:r w:rsidR="00EE4AF0" w:rsidRPr="0036623E">
        <w:rPr>
          <w:rFonts w:ascii="Arial" w:hAnsi="Arial" w:cs="Arial"/>
          <w:b/>
          <w:snapToGrid w:val="0"/>
          <w:sz w:val="20"/>
        </w:rPr>
        <w:t>. INTERESSI E ALTRI ONERI FINANZIARI (ART. 2427 co. 1 n. 12)</w:t>
      </w:r>
    </w:p>
    <w:p w14:paraId="381AD86F" w14:textId="77777777" w:rsidR="00EE4AF0" w:rsidRPr="0036623E" w:rsidRDefault="00EE4AF0" w:rsidP="002D4D1D">
      <w:pPr>
        <w:widowControl w:val="0"/>
        <w:spacing w:before="60" w:after="60"/>
        <w:jc w:val="both"/>
        <w:rPr>
          <w:rFonts w:ascii="Arial" w:hAnsi="Arial" w:cs="Arial"/>
          <w:snapToGrid w:val="0"/>
          <w:sz w:val="20"/>
        </w:rPr>
      </w:pPr>
      <w:r w:rsidRPr="0036623E">
        <w:rPr>
          <w:rFonts w:ascii="Arial" w:hAnsi="Arial" w:cs="Arial"/>
          <w:snapToGrid w:val="0"/>
          <w:sz w:val="20"/>
        </w:rPr>
        <w:t>La voce risulta già commentata in precedenza.</w:t>
      </w:r>
    </w:p>
    <w:p w14:paraId="78EDE656" w14:textId="77777777" w:rsidR="00EE4AF0" w:rsidRPr="0036623E" w:rsidRDefault="00EE4AF0" w:rsidP="002D4D1D">
      <w:pPr>
        <w:widowControl w:val="0"/>
        <w:shd w:val="clear" w:color="auto" w:fill="F3F3F3"/>
        <w:tabs>
          <w:tab w:val="left" w:pos="567"/>
          <w:tab w:val="left" w:pos="7766"/>
        </w:tabs>
        <w:spacing w:before="120" w:after="120"/>
        <w:rPr>
          <w:rFonts w:ascii="Arial" w:hAnsi="Arial" w:cs="Arial"/>
          <w:b/>
          <w:snapToGrid w:val="0"/>
          <w:sz w:val="20"/>
        </w:rPr>
      </w:pPr>
      <w:r w:rsidRPr="0036623E">
        <w:rPr>
          <w:rFonts w:ascii="Arial" w:hAnsi="Arial" w:cs="Arial"/>
          <w:b/>
          <w:snapToGrid w:val="0"/>
          <w:sz w:val="20"/>
        </w:rPr>
        <w:t>1</w:t>
      </w:r>
      <w:r w:rsidR="0089550D" w:rsidRPr="0036623E">
        <w:rPr>
          <w:rFonts w:ascii="Arial" w:hAnsi="Arial" w:cs="Arial"/>
          <w:b/>
          <w:snapToGrid w:val="0"/>
          <w:sz w:val="20"/>
        </w:rPr>
        <w:t>2</w:t>
      </w:r>
      <w:r w:rsidRPr="0036623E">
        <w:rPr>
          <w:rFonts w:ascii="Arial" w:hAnsi="Arial" w:cs="Arial"/>
          <w:b/>
          <w:snapToGrid w:val="0"/>
          <w:sz w:val="20"/>
        </w:rPr>
        <w:t>. IMPOSTE ANTICIPATE E DIFFERITE (ART. 2427 co. 1 n. 14)</w:t>
      </w:r>
    </w:p>
    <w:p w14:paraId="2E055BB5" w14:textId="1E9BFCD5" w:rsidR="00D65236" w:rsidRPr="008B3BFA" w:rsidRDefault="00D65236" w:rsidP="002D4D1D">
      <w:pPr>
        <w:widowControl w:val="0"/>
        <w:spacing w:before="120" w:after="120"/>
        <w:jc w:val="both"/>
        <w:rPr>
          <w:sz w:val="18"/>
          <w:szCs w:val="18"/>
        </w:rPr>
      </w:pPr>
      <w:r w:rsidRPr="008B3BFA">
        <w:rPr>
          <w:i/>
          <w:iCs/>
          <w:sz w:val="18"/>
          <w:szCs w:val="18"/>
        </w:rPr>
        <w:t>Euro/000</w:t>
      </w:r>
    </w:p>
    <w:p w14:paraId="59AA68D4" w14:textId="3631C2A7" w:rsidR="0036623E" w:rsidRDefault="00CE6109" w:rsidP="002D4D1D">
      <w:pPr>
        <w:widowControl w:val="0"/>
        <w:spacing w:before="120" w:after="120"/>
        <w:jc w:val="both"/>
        <w:rPr>
          <w:highlight w:val="yellow"/>
        </w:rPr>
      </w:pPr>
      <w:r>
        <w:rPr>
          <w:noProof/>
        </w:rPr>
        <w:drawing>
          <wp:inline distT="0" distB="0" distL="0" distR="0" wp14:anchorId="626F03DB" wp14:editId="1DC87D24">
            <wp:extent cx="5391150" cy="10953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a:ln>
                      <a:noFill/>
                    </a:ln>
                  </pic:spPr>
                </pic:pic>
              </a:graphicData>
            </a:graphic>
          </wp:inline>
        </w:drawing>
      </w:r>
    </w:p>
    <w:p w14:paraId="798462F5" w14:textId="2F1B7B33" w:rsidR="00EE4AF0" w:rsidRPr="0036623E" w:rsidRDefault="00A61E1C" w:rsidP="002D4D1D">
      <w:pPr>
        <w:pStyle w:val="Rientrocorpodeltesto"/>
        <w:tabs>
          <w:tab w:val="clear" w:pos="1542"/>
          <w:tab w:val="left" w:pos="142"/>
          <w:tab w:val="left" w:pos="1576"/>
        </w:tabs>
        <w:spacing w:after="120"/>
        <w:ind w:left="0"/>
        <w:jc w:val="both"/>
        <w:rPr>
          <w:rFonts w:ascii="Arial" w:hAnsi="Arial" w:cs="Arial"/>
          <w:sz w:val="20"/>
          <w:lang w:val="it-IT"/>
        </w:rPr>
      </w:pPr>
      <w:r w:rsidRPr="0036623E">
        <w:rPr>
          <w:rFonts w:ascii="Arial" w:hAnsi="Arial" w:cs="Arial"/>
          <w:sz w:val="20"/>
          <w:lang w:val="it-IT"/>
        </w:rPr>
        <w:t>Non si sono accantonate le imposte anticipate, non sussistendo la ragionevole certezza di conseguire imponibili fiscali nei successivi esercizi (</w:t>
      </w:r>
      <w:r w:rsidR="00C8685D" w:rsidRPr="0036623E">
        <w:rPr>
          <w:rFonts w:ascii="Arial" w:hAnsi="Arial" w:cs="Arial"/>
          <w:sz w:val="20"/>
        </w:rPr>
        <w:t>principio contabile</w:t>
      </w:r>
      <w:r w:rsidR="001C5C38">
        <w:rPr>
          <w:rFonts w:ascii="Arial" w:hAnsi="Arial" w:cs="Arial"/>
          <w:sz w:val="20"/>
          <w:lang w:val="it-IT"/>
        </w:rPr>
        <w:t xml:space="preserve"> OIC</w:t>
      </w:r>
      <w:r w:rsidR="00C8685D" w:rsidRPr="0036623E">
        <w:rPr>
          <w:rFonts w:ascii="Arial" w:hAnsi="Arial" w:cs="Arial"/>
          <w:sz w:val="20"/>
        </w:rPr>
        <w:t xml:space="preserve"> </w:t>
      </w:r>
      <w:r w:rsidR="00C8685D" w:rsidRPr="0036623E">
        <w:rPr>
          <w:rFonts w:ascii="Arial" w:hAnsi="Arial" w:cs="Arial"/>
          <w:sz w:val="20"/>
          <w:lang w:val="it-IT"/>
        </w:rPr>
        <w:t>n</w:t>
      </w:r>
      <w:r w:rsidRPr="0036623E">
        <w:rPr>
          <w:rFonts w:ascii="Arial" w:hAnsi="Arial" w:cs="Arial"/>
          <w:sz w:val="20"/>
        </w:rPr>
        <w:t>° 25</w:t>
      </w:r>
      <w:r w:rsidRPr="0036623E">
        <w:rPr>
          <w:rFonts w:ascii="Arial" w:hAnsi="Arial" w:cs="Arial"/>
          <w:sz w:val="20"/>
          <w:lang w:val="it-IT"/>
        </w:rPr>
        <w:t>).</w:t>
      </w:r>
    </w:p>
    <w:p w14:paraId="66D537F4" w14:textId="7081F14F" w:rsidR="001A4984" w:rsidRDefault="00A90CC4" w:rsidP="002D4D1D">
      <w:pPr>
        <w:widowControl w:val="0"/>
        <w:tabs>
          <w:tab w:val="left" w:pos="142"/>
          <w:tab w:val="left" w:pos="1542"/>
          <w:tab w:val="left" w:pos="1576"/>
        </w:tabs>
        <w:snapToGrid w:val="0"/>
        <w:spacing w:after="120"/>
        <w:jc w:val="both"/>
        <w:rPr>
          <w:rFonts w:ascii="Arial" w:hAnsi="Arial" w:cs="Arial"/>
          <w:sz w:val="20"/>
          <w:szCs w:val="20"/>
          <w:lang w:eastAsia="x-none"/>
        </w:rPr>
      </w:pPr>
      <w:r w:rsidRPr="0036623E">
        <w:rPr>
          <w:rFonts w:ascii="Arial" w:hAnsi="Arial" w:cs="Arial"/>
          <w:sz w:val="20"/>
          <w:szCs w:val="20"/>
          <w:lang w:eastAsia="x-none"/>
        </w:rPr>
        <w:t>Le imposte correnti</w:t>
      </w:r>
      <w:r w:rsidR="00A61E1C" w:rsidRPr="0036623E">
        <w:rPr>
          <w:rFonts w:ascii="Arial" w:hAnsi="Arial" w:cs="Arial"/>
          <w:sz w:val="20"/>
          <w:szCs w:val="20"/>
          <w:lang w:eastAsia="x-none"/>
        </w:rPr>
        <w:t xml:space="preserve"> riguardano </w:t>
      </w:r>
      <w:r w:rsidR="0036623E" w:rsidRPr="0036623E">
        <w:rPr>
          <w:rFonts w:ascii="Arial" w:hAnsi="Arial" w:cs="Arial"/>
          <w:sz w:val="20"/>
          <w:szCs w:val="20"/>
          <w:lang w:eastAsia="x-none"/>
        </w:rPr>
        <w:t xml:space="preserve">l’IRAP della controllata per </w:t>
      </w:r>
      <w:r w:rsidR="007F565B">
        <w:rPr>
          <w:rFonts w:ascii="Arial" w:hAnsi="Arial" w:cs="Arial"/>
          <w:sz w:val="20"/>
          <w:szCs w:val="20"/>
          <w:lang w:eastAsia="x-none"/>
        </w:rPr>
        <w:t>1.395</w:t>
      </w:r>
      <w:r w:rsidR="0036623E" w:rsidRPr="0036623E">
        <w:rPr>
          <w:rFonts w:ascii="Arial" w:hAnsi="Arial" w:cs="Arial"/>
          <w:sz w:val="20"/>
          <w:szCs w:val="20"/>
          <w:lang w:eastAsia="x-none"/>
        </w:rPr>
        <w:t xml:space="preserve"> </w:t>
      </w:r>
      <w:r w:rsidR="006E693D">
        <w:rPr>
          <w:rFonts w:ascii="Arial" w:hAnsi="Arial" w:cs="Arial"/>
          <w:sz w:val="20"/>
          <w:szCs w:val="20"/>
          <w:lang w:eastAsia="x-none"/>
        </w:rPr>
        <w:t>€/000</w:t>
      </w:r>
      <w:r w:rsidR="006E693D" w:rsidRPr="0036623E">
        <w:rPr>
          <w:rFonts w:ascii="Arial" w:hAnsi="Arial" w:cs="Arial"/>
          <w:sz w:val="20"/>
          <w:szCs w:val="20"/>
          <w:lang w:eastAsia="x-none"/>
        </w:rPr>
        <w:t xml:space="preserve"> </w:t>
      </w:r>
      <w:r w:rsidR="0036623E" w:rsidRPr="0036623E">
        <w:rPr>
          <w:rFonts w:ascii="Arial" w:hAnsi="Arial" w:cs="Arial"/>
          <w:sz w:val="20"/>
          <w:szCs w:val="20"/>
          <w:lang w:eastAsia="x-none"/>
        </w:rPr>
        <w:t xml:space="preserve">e per Napoli Holding per </w:t>
      </w:r>
      <w:r w:rsidR="007F565B">
        <w:rPr>
          <w:rFonts w:ascii="Arial" w:hAnsi="Arial" w:cs="Arial"/>
          <w:sz w:val="20"/>
          <w:szCs w:val="20"/>
          <w:lang w:eastAsia="x-none"/>
        </w:rPr>
        <w:t xml:space="preserve">20 </w:t>
      </w:r>
      <w:r w:rsidR="006E693D">
        <w:rPr>
          <w:rFonts w:ascii="Arial" w:hAnsi="Arial" w:cs="Arial"/>
          <w:sz w:val="20"/>
          <w:szCs w:val="20"/>
          <w:lang w:eastAsia="x-none"/>
        </w:rPr>
        <w:t>€/000</w:t>
      </w:r>
      <w:r w:rsidR="0036623E" w:rsidRPr="0036623E">
        <w:rPr>
          <w:rFonts w:ascii="Arial" w:hAnsi="Arial" w:cs="Arial"/>
          <w:sz w:val="20"/>
          <w:szCs w:val="20"/>
          <w:lang w:eastAsia="x-none"/>
        </w:rPr>
        <w:t xml:space="preserve"> cir</w:t>
      </w:r>
      <w:r w:rsidR="00345F09">
        <w:rPr>
          <w:rFonts w:ascii="Arial" w:hAnsi="Arial" w:cs="Arial"/>
          <w:sz w:val="20"/>
          <w:szCs w:val="20"/>
          <w:lang w:eastAsia="x-none"/>
        </w:rPr>
        <w:t xml:space="preserve">ca e l’IRES della Controllata per </w:t>
      </w:r>
      <w:r w:rsidR="007F565B">
        <w:rPr>
          <w:rFonts w:ascii="Arial" w:hAnsi="Arial" w:cs="Arial"/>
          <w:sz w:val="20"/>
          <w:szCs w:val="20"/>
          <w:lang w:eastAsia="x-none"/>
        </w:rPr>
        <w:t>6.284</w:t>
      </w:r>
      <w:r w:rsidR="006E693D">
        <w:rPr>
          <w:rFonts w:ascii="Arial" w:hAnsi="Arial" w:cs="Arial"/>
          <w:sz w:val="20"/>
          <w:szCs w:val="20"/>
          <w:lang w:eastAsia="x-none"/>
        </w:rPr>
        <w:t xml:space="preserve"> €/000</w:t>
      </w:r>
      <w:r w:rsidR="007F565B">
        <w:rPr>
          <w:rFonts w:ascii="Arial" w:hAnsi="Arial" w:cs="Arial"/>
          <w:sz w:val="20"/>
          <w:szCs w:val="20"/>
          <w:lang w:eastAsia="x-none"/>
        </w:rPr>
        <w:t>. L’imp</w:t>
      </w:r>
      <w:r w:rsidR="006E693D">
        <w:rPr>
          <w:rFonts w:ascii="Arial" w:hAnsi="Arial" w:cs="Arial"/>
          <w:sz w:val="20"/>
          <w:szCs w:val="20"/>
          <w:lang w:eastAsia="x-none"/>
        </w:rPr>
        <w:t>o</w:t>
      </w:r>
      <w:r w:rsidR="007F565B">
        <w:rPr>
          <w:rFonts w:ascii="Arial" w:hAnsi="Arial" w:cs="Arial"/>
          <w:sz w:val="20"/>
          <w:szCs w:val="20"/>
          <w:lang w:eastAsia="x-none"/>
        </w:rPr>
        <w:t>nibile fiscale Ires tiene conto dell’ab</w:t>
      </w:r>
      <w:r w:rsidR="007F565B" w:rsidRPr="007F565B">
        <w:rPr>
          <w:rFonts w:ascii="Arial" w:hAnsi="Arial" w:cs="Arial"/>
          <w:sz w:val="20"/>
          <w:szCs w:val="20"/>
          <w:lang w:eastAsia="x-none"/>
        </w:rPr>
        <w:t xml:space="preserve">battimento </w:t>
      </w:r>
      <w:r w:rsidR="007F565B">
        <w:rPr>
          <w:rFonts w:ascii="Arial" w:hAnsi="Arial" w:cs="Arial"/>
          <w:sz w:val="20"/>
          <w:szCs w:val="20"/>
          <w:lang w:eastAsia="x-none"/>
        </w:rPr>
        <w:t xml:space="preserve">parziale </w:t>
      </w:r>
      <w:r w:rsidR="007F565B" w:rsidRPr="007F565B">
        <w:rPr>
          <w:rFonts w:ascii="Arial" w:hAnsi="Arial" w:cs="Arial"/>
          <w:sz w:val="20"/>
          <w:szCs w:val="20"/>
          <w:lang w:eastAsia="x-none"/>
        </w:rPr>
        <w:t>delle perdite fiscali pregresse</w:t>
      </w:r>
      <w:r w:rsidR="006E693D">
        <w:rPr>
          <w:rFonts w:ascii="Arial" w:hAnsi="Arial" w:cs="Arial"/>
          <w:sz w:val="20"/>
          <w:szCs w:val="20"/>
          <w:lang w:eastAsia="x-none"/>
        </w:rPr>
        <w:t>.</w:t>
      </w:r>
    </w:p>
    <w:p w14:paraId="1CD07BA9" w14:textId="77777777" w:rsidR="007F565B" w:rsidRPr="007F565B" w:rsidRDefault="007F565B" w:rsidP="007F565B">
      <w:pPr>
        <w:widowControl w:val="0"/>
        <w:tabs>
          <w:tab w:val="left" w:pos="142"/>
          <w:tab w:val="left" w:pos="1542"/>
          <w:tab w:val="left" w:pos="1576"/>
        </w:tabs>
        <w:snapToGrid w:val="0"/>
        <w:spacing w:after="120"/>
        <w:jc w:val="both"/>
        <w:rPr>
          <w:rFonts w:ascii="Arial" w:hAnsi="Arial" w:cs="Arial"/>
          <w:sz w:val="20"/>
          <w:szCs w:val="20"/>
          <w:lang w:val="x-none" w:eastAsia="x-none"/>
        </w:rPr>
      </w:pPr>
      <w:r w:rsidRPr="007F565B">
        <w:rPr>
          <w:rFonts w:ascii="Arial" w:hAnsi="Arial" w:cs="Arial"/>
          <w:sz w:val="20"/>
          <w:szCs w:val="20"/>
          <w:lang w:val="x-none" w:eastAsia="x-none"/>
        </w:rPr>
        <w:t>In applicazione dell’OIC 12 sono stati classificati nella voce in esame:</w:t>
      </w:r>
    </w:p>
    <w:p w14:paraId="0524CB14" w14:textId="4413500C" w:rsidR="007F565B" w:rsidRPr="007F565B" w:rsidRDefault="007F565B" w:rsidP="00F35322">
      <w:pPr>
        <w:widowControl w:val="0"/>
        <w:numPr>
          <w:ilvl w:val="0"/>
          <w:numId w:val="49"/>
        </w:numPr>
        <w:snapToGrid w:val="0"/>
        <w:spacing w:after="120"/>
        <w:ind w:left="284" w:hanging="284"/>
        <w:jc w:val="both"/>
        <w:rPr>
          <w:rFonts w:ascii="Arial" w:hAnsi="Arial" w:cs="Arial"/>
          <w:sz w:val="20"/>
          <w:szCs w:val="20"/>
          <w:lang w:val="x-none" w:eastAsia="x-none"/>
        </w:rPr>
      </w:pPr>
      <w:r w:rsidRPr="007F565B">
        <w:rPr>
          <w:rFonts w:ascii="Arial" w:hAnsi="Arial" w:cs="Arial"/>
          <w:sz w:val="20"/>
          <w:szCs w:val="20"/>
          <w:lang w:val="x-none" w:eastAsia="x-none"/>
        </w:rPr>
        <w:t xml:space="preserve">5 </w:t>
      </w:r>
      <w:r w:rsidR="00FA68F4">
        <w:rPr>
          <w:rFonts w:ascii="Arial" w:hAnsi="Arial" w:cs="Arial"/>
          <w:i/>
          <w:sz w:val="20"/>
          <w:szCs w:val="20"/>
          <w:lang w:val="x-none" w:eastAsia="x-none"/>
        </w:rPr>
        <w:t>€/000</w:t>
      </w:r>
      <w:r w:rsidRPr="007F565B">
        <w:rPr>
          <w:rFonts w:ascii="Arial" w:hAnsi="Arial" w:cs="Arial"/>
          <w:i/>
          <w:sz w:val="20"/>
          <w:szCs w:val="20"/>
          <w:lang w:val="x-none" w:eastAsia="x-none"/>
        </w:rPr>
        <w:t xml:space="preserve"> </w:t>
      </w:r>
      <w:r w:rsidRPr="007F565B">
        <w:rPr>
          <w:rFonts w:ascii="Arial" w:hAnsi="Arial" w:cs="Arial"/>
          <w:sz w:val="20"/>
          <w:szCs w:val="20"/>
          <w:lang w:val="x-none" w:eastAsia="x-none"/>
        </w:rPr>
        <w:t>relativi ad una rettifica</w:t>
      </w:r>
      <w:r w:rsidRPr="007F565B">
        <w:rPr>
          <w:rFonts w:ascii="Arial" w:hAnsi="Arial" w:cs="Arial"/>
          <w:i/>
          <w:sz w:val="20"/>
          <w:szCs w:val="20"/>
          <w:lang w:val="x-none" w:eastAsia="x-none"/>
        </w:rPr>
        <w:t xml:space="preserve"> </w:t>
      </w:r>
      <w:r w:rsidRPr="007F565B">
        <w:rPr>
          <w:rFonts w:ascii="Arial" w:hAnsi="Arial" w:cs="Arial"/>
          <w:sz w:val="20"/>
          <w:szCs w:val="20"/>
          <w:lang w:val="x-none" w:eastAsia="x-none"/>
        </w:rPr>
        <w:t>incrementativa dell’imposta IRAP 2018 rilevata in dichiarazione Unico 2019 rispetto al Bilancio 2018;</w:t>
      </w:r>
    </w:p>
    <w:p w14:paraId="6F8F7915" w14:textId="33F2A903" w:rsidR="007F565B" w:rsidRPr="007F565B" w:rsidRDefault="007F565B" w:rsidP="00F35322">
      <w:pPr>
        <w:widowControl w:val="0"/>
        <w:numPr>
          <w:ilvl w:val="0"/>
          <w:numId w:val="49"/>
        </w:numPr>
        <w:snapToGrid w:val="0"/>
        <w:spacing w:after="120"/>
        <w:ind w:left="284" w:hanging="284"/>
        <w:jc w:val="both"/>
        <w:rPr>
          <w:rFonts w:ascii="Arial" w:hAnsi="Arial" w:cs="Arial"/>
          <w:sz w:val="20"/>
          <w:szCs w:val="20"/>
          <w:lang w:val="x-none" w:eastAsia="x-none"/>
        </w:rPr>
      </w:pPr>
      <w:r w:rsidRPr="007F565B">
        <w:rPr>
          <w:rFonts w:ascii="Arial" w:hAnsi="Arial" w:cs="Arial"/>
          <w:sz w:val="20"/>
          <w:szCs w:val="20"/>
          <w:lang w:val="x-none" w:eastAsia="x-none"/>
        </w:rPr>
        <w:t xml:space="preserve">(146) </w:t>
      </w:r>
      <w:r w:rsidR="00FA68F4">
        <w:rPr>
          <w:rFonts w:ascii="Arial" w:hAnsi="Arial" w:cs="Arial"/>
          <w:i/>
          <w:sz w:val="20"/>
          <w:szCs w:val="20"/>
          <w:lang w:val="x-none" w:eastAsia="x-none"/>
        </w:rPr>
        <w:t>€/000</w:t>
      </w:r>
      <w:r w:rsidRPr="007F565B">
        <w:rPr>
          <w:rFonts w:ascii="Arial" w:hAnsi="Arial" w:cs="Arial"/>
          <w:i/>
          <w:sz w:val="20"/>
          <w:szCs w:val="20"/>
          <w:lang w:val="x-none" w:eastAsia="x-none"/>
        </w:rPr>
        <w:t xml:space="preserve">  </w:t>
      </w:r>
      <w:r w:rsidRPr="007F565B">
        <w:rPr>
          <w:rFonts w:ascii="Arial" w:hAnsi="Arial" w:cs="Arial"/>
          <w:sz w:val="20"/>
          <w:szCs w:val="20"/>
          <w:lang w:val="x-none" w:eastAsia="x-none"/>
        </w:rPr>
        <w:t>relativi ad una rettifica decrementativa dell’imposta IRES 2018 rilevata in dichiarazione Unico 2019 rispetto al Bilancio 2018;</w:t>
      </w:r>
    </w:p>
    <w:p w14:paraId="6E250B05" w14:textId="7F4AAAF5" w:rsidR="007F565B" w:rsidRPr="007F565B" w:rsidRDefault="007F565B" w:rsidP="00F35322">
      <w:pPr>
        <w:widowControl w:val="0"/>
        <w:numPr>
          <w:ilvl w:val="0"/>
          <w:numId w:val="49"/>
        </w:numPr>
        <w:snapToGrid w:val="0"/>
        <w:spacing w:after="120"/>
        <w:ind w:left="284" w:hanging="284"/>
        <w:jc w:val="both"/>
        <w:rPr>
          <w:rFonts w:ascii="Arial" w:hAnsi="Arial" w:cs="Arial"/>
          <w:sz w:val="20"/>
          <w:szCs w:val="20"/>
          <w:lang w:val="x-none" w:eastAsia="x-none"/>
        </w:rPr>
      </w:pPr>
      <w:r w:rsidRPr="007F565B">
        <w:rPr>
          <w:rFonts w:ascii="Arial" w:hAnsi="Arial" w:cs="Arial"/>
          <w:sz w:val="20"/>
          <w:szCs w:val="20"/>
          <w:lang w:val="x-none" w:eastAsia="x-none"/>
        </w:rPr>
        <w:t xml:space="preserve">(1.837) </w:t>
      </w:r>
      <w:r w:rsidR="00FA68F4">
        <w:rPr>
          <w:rFonts w:ascii="Arial" w:hAnsi="Arial" w:cs="Arial"/>
          <w:i/>
          <w:sz w:val="20"/>
          <w:szCs w:val="20"/>
          <w:lang w:val="x-none" w:eastAsia="x-none"/>
        </w:rPr>
        <w:t>€/000</w:t>
      </w:r>
      <w:r w:rsidRPr="007F565B">
        <w:rPr>
          <w:rFonts w:ascii="Arial" w:hAnsi="Arial" w:cs="Arial"/>
          <w:i/>
          <w:sz w:val="20"/>
          <w:szCs w:val="20"/>
          <w:lang w:val="x-none" w:eastAsia="x-none"/>
        </w:rPr>
        <w:t xml:space="preserve"> </w:t>
      </w:r>
      <w:r w:rsidRPr="007F565B">
        <w:rPr>
          <w:rFonts w:ascii="Arial" w:hAnsi="Arial" w:cs="Arial"/>
          <w:sz w:val="20"/>
          <w:szCs w:val="20"/>
          <w:lang w:val="x-none" w:eastAsia="x-none"/>
        </w:rPr>
        <w:t>relativi alla sentenza 11672/19 che ha disposto il rimborso del cuneo fiscale 2010.</w:t>
      </w:r>
    </w:p>
    <w:p w14:paraId="1E24AA57" w14:textId="77777777" w:rsidR="00EE4AF0" w:rsidRPr="0036623E" w:rsidRDefault="00EE4AF0" w:rsidP="002D4D1D">
      <w:pPr>
        <w:pStyle w:val="Rientrocorpodeltesto"/>
        <w:tabs>
          <w:tab w:val="clear" w:pos="1542"/>
          <w:tab w:val="left" w:pos="142"/>
          <w:tab w:val="left" w:pos="1576"/>
        </w:tabs>
        <w:spacing w:after="120"/>
        <w:ind w:left="0"/>
        <w:jc w:val="both"/>
        <w:rPr>
          <w:rFonts w:ascii="Arial" w:hAnsi="Arial" w:cs="Arial"/>
          <w:b/>
          <w:sz w:val="20"/>
        </w:rPr>
      </w:pPr>
      <w:r w:rsidRPr="0036623E">
        <w:rPr>
          <w:rFonts w:ascii="Arial" w:hAnsi="Arial" w:cs="Arial"/>
          <w:b/>
          <w:sz w:val="20"/>
        </w:rPr>
        <w:lastRenderedPageBreak/>
        <w:t>1</w:t>
      </w:r>
      <w:r w:rsidR="008273A3" w:rsidRPr="0036623E">
        <w:rPr>
          <w:rFonts w:ascii="Arial" w:hAnsi="Arial" w:cs="Arial"/>
          <w:b/>
          <w:sz w:val="20"/>
          <w:lang w:val="it-IT"/>
        </w:rPr>
        <w:t>3</w:t>
      </w:r>
      <w:r w:rsidRPr="0036623E">
        <w:rPr>
          <w:rFonts w:ascii="Arial" w:hAnsi="Arial" w:cs="Arial"/>
          <w:b/>
          <w:sz w:val="20"/>
        </w:rPr>
        <w:t>. NUMERO MEDIO DI DIPENDENTI (ART. 2427 CO. 1 N. 15)</w:t>
      </w:r>
    </w:p>
    <w:p w14:paraId="7370B074" w14:textId="77777777" w:rsidR="00D65236" w:rsidRDefault="00EE4AF0" w:rsidP="00B74C3B">
      <w:pPr>
        <w:pStyle w:val="Corpodeltesto2"/>
        <w:spacing w:before="120" w:after="120"/>
        <w:jc w:val="both"/>
        <w:rPr>
          <w:rFonts w:ascii="Arial" w:hAnsi="Arial" w:cs="Arial"/>
          <w:sz w:val="20"/>
        </w:rPr>
      </w:pPr>
      <w:r w:rsidRPr="0036623E">
        <w:rPr>
          <w:rFonts w:ascii="Arial" w:hAnsi="Arial" w:cs="Arial"/>
          <w:sz w:val="20"/>
        </w:rPr>
        <w:t>Nel corso dell’esercizio 201</w:t>
      </w:r>
      <w:r w:rsidR="001C5C38">
        <w:rPr>
          <w:rFonts w:ascii="Arial" w:hAnsi="Arial" w:cs="Arial"/>
          <w:sz w:val="20"/>
        </w:rPr>
        <w:t>9</w:t>
      </w:r>
      <w:r w:rsidRPr="0036623E">
        <w:rPr>
          <w:rFonts w:ascii="Arial" w:hAnsi="Arial" w:cs="Arial"/>
          <w:sz w:val="20"/>
        </w:rPr>
        <w:t xml:space="preserve"> si è registrata la seguente variazione:</w:t>
      </w:r>
    </w:p>
    <w:p w14:paraId="5B88EED9" w14:textId="49216BB1" w:rsidR="00265DAE" w:rsidRPr="0036623E" w:rsidRDefault="00D65236" w:rsidP="00B74C3B">
      <w:pPr>
        <w:pStyle w:val="Corpodeltesto2"/>
        <w:spacing w:before="120" w:after="120"/>
        <w:jc w:val="both"/>
        <w:rPr>
          <w:rFonts w:ascii="Arial" w:hAnsi="Arial" w:cs="Arial"/>
          <w:sz w:val="20"/>
        </w:rPr>
      </w:pPr>
      <w:r w:rsidRPr="00D65236">
        <w:rPr>
          <w:rFonts w:ascii="Arial" w:hAnsi="Arial" w:cs="Arial"/>
          <w:i/>
          <w:iCs/>
          <w:sz w:val="20"/>
        </w:rPr>
        <w:t>Euro/000</w:t>
      </w:r>
      <w:r w:rsidR="00CE6109">
        <w:rPr>
          <w:noProof/>
        </w:rPr>
        <w:drawing>
          <wp:inline distT="0" distB="0" distL="0" distR="0" wp14:anchorId="57F3CBD6" wp14:editId="7FFDF0A1">
            <wp:extent cx="5400675" cy="2152650"/>
            <wp:effectExtent l="0" t="0" r="952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675" cy="2152650"/>
                    </a:xfrm>
                    <a:prstGeom prst="rect">
                      <a:avLst/>
                    </a:prstGeom>
                    <a:noFill/>
                    <a:ln>
                      <a:noFill/>
                    </a:ln>
                  </pic:spPr>
                </pic:pic>
              </a:graphicData>
            </a:graphic>
          </wp:inline>
        </w:drawing>
      </w:r>
    </w:p>
    <w:p w14:paraId="2F3FD0C7" w14:textId="0D9A0538" w:rsidR="001F5808" w:rsidRPr="00265DAE" w:rsidRDefault="00EE4AF0" w:rsidP="00B74C3B">
      <w:pPr>
        <w:widowControl w:val="0"/>
        <w:spacing w:before="120" w:after="120"/>
        <w:jc w:val="both"/>
        <w:rPr>
          <w:rFonts w:ascii="Arial" w:hAnsi="Arial" w:cs="Arial"/>
          <w:sz w:val="20"/>
        </w:rPr>
      </w:pPr>
      <w:r w:rsidRPr="00265DAE">
        <w:rPr>
          <w:rFonts w:ascii="Arial" w:hAnsi="Arial" w:cs="Arial"/>
          <w:sz w:val="20"/>
        </w:rPr>
        <w:t>Il contratto nazionale di lavoro applicato</w:t>
      </w:r>
      <w:r w:rsidR="0054393A" w:rsidRPr="00265DAE">
        <w:rPr>
          <w:rFonts w:ascii="Arial" w:hAnsi="Arial" w:cs="Arial"/>
          <w:sz w:val="20"/>
        </w:rPr>
        <w:t xml:space="preserve"> al 31/12</w:t>
      </w:r>
      <w:r w:rsidR="001C5C38">
        <w:rPr>
          <w:rFonts w:ascii="Arial" w:hAnsi="Arial" w:cs="Arial"/>
          <w:sz w:val="20"/>
        </w:rPr>
        <w:t>/2019</w:t>
      </w:r>
      <w:r w:rsidRPr="00265DAE">
        <w:rPr>
          <w:rFonts w:ascii="Arial" w:hAnsi="Arial" w:cs="Arial"/>
          <w:sz w:val="20"/>
        </w:rPr>
        <w:t xml:space="preserve"> è qu</w:t>
      </w:r>
      <w:r w:rsidR="00EC7528" w:rsidRPr="00265DAE">
        <w:rPr>
          <w:rFonts w:ascii="Arial" w:hAnsi="Arial" w:cs="Arial"/>
          <w:sz w:val="20"/>
        </w:rPr>
        <w:t>ello del settore auto ferro</w:t>
      </w:r>
      <w:r w:rsidR="001F5808" w:rsidRPr="00265DAE">
        <w:rPr>
          <w:rFonts w:ascii="Arial" w:hAnsi="Arial" w:cs="Arial"/>
          <w:sz w:val="20"/>
        </w:rPr>
        <w:t>tramvieri</w:t>
      </w:r>
      <w:r w:rsidR="00C916C2" w:rsidRPr="00265DAE">
        <w:rPr>
          <w:rFonts w:ascii="Arial" w:hAnsi="Arial" w:cs="Arial"/>
          <w:sz w:val="20"/>
        </w:rPr>
        <w:t xml:space="preserve"> per ANM e del settore commercio per Napoli Holding Srl.</w:t>
      </w:r>
    </w:p>
    <w:p w14:paraId="3E3922E2" w14:textId="6E8D7528" w:rsidR="001F5808" w:rsidRPr="00265DAE" w:rsidRDefault="001F5808" w:rsidP="00B74C3B">
      <w:pPr>
        <w:widowControl w:val="0"/>
        <w:spacing w:before="120" w:after="120"/>
        <w:jc w:val="both"/>
        <w:rPr>
          <w:rFonts w:ascii="Arial" w:hAnsi="Arial" w:cs="Arial"/>
          <w:sz w:val="20"/>
        </w:rPr>
      </w:pPr>
      <w:r w:rsidRPr="00265DAE">
        <w:rPr>
          <w:rFonts w:ascii="Arial" w:hAnsi="Arial" w:cs="Arial"/>
          <w:sz w:val="20"/>
        </w:rPr>
        <w:t xml:space="preserve">La diminuzione del personale di Gruppo di </w:t>
      </w:r>
      <w:r w:rsidR="001C5C38">
        <w:rPr>
          <w:rFonts w:ascii="Arial" w:hAnsi="Arial" w:cs="Arial"/>
          <w:sz w:val="20"/>
        </w:rPr>
        <w:t>93</w:t>
      </w:r>
      <w:r w:rsidRPr="00265DAE">
        <w:rPr>
          <w:rFonts w:ascii="Arial" w:hAnsi="Arial" w:cs="Arial"/>
          <w:sz w:val="20"/>
        </w:rPr>
        <w:t xml:space="preserve"> unità, rispetto al precedente esercizio, si riferisce </w:t>
      </w:r>
      <w:r w:rsidR="00012D9D" w:rsidRPr="00265DAE">
        <w:rPr>
          <w:rFonts w:ascii="Arial" w:hAnsi="Arial" w:cs="Arial"/>
          <w:sz w:val="20"/>
        </w:rPr>
        <w:t>all’ ANM.</w:t>
      </w:r>
    </w:p>
    <w:p w14:paraId="30FC019C" w14:textId="43D47EFC" w:rsidR="001F5808" w:rsidRPr="00265DAE" w:rsidRDefault="00C916C2" w:rsidP="00B74C3B">
      <w:pPr>
        <w:widowControl w:val="0"/>
        <w:spacing w:before="120" w:after="120"/>
        <w:jc w:val="both"/>
        <w:rPr>
          <w:rFonts w:ascii="Arial" w:hAnsi="Arial" w:cs="Arial"/>
          <w:sz w:val="20"/>
        </w:rPr>
      </w:pPr>
      <w:r w:rsidRPr="00265DAE">
        <w:rPr>
          <w:rFonts w:ascii="Arial" w:hAnsi="Arial" w:cs="Arial"/>
          <w:sz w:val="20"/>
        </w:rPr>
        <w:t xml:space="preserve">Per quanto riguarda la Napoli Holding </w:t>
      </w:r>
      <w:r w:rsidR="00265DAE" w:rsidRPr="00265DAE">
        <w:rPr>
          <w:rFonts w:ascii="Arial" w:hAnsi="Arial" w:cs="Arial"/>
          <w:sz w:val="20"/>
        </w:rPr>
        <w:t>non vi sono s</w:t>
      </w:r>
      <w:r w:rsidR="00323681">
        <w:rPr>
          <w:rFonts w:ascii="Arial" w:hAnsi="Arial" w:cs="Arial"/>
          <w:sz w:val="20"/>
        </w:rPr>
        <w:t>tate variazioni rispetto al 201</w:t>
      </w:r>
      <w:r w:rsidR="001C5C38">
        <w:rPr>
          <w:rFonts w:ascii="Arial" w:hAnsi="Arial" w:cs="Arial"/>
          <w:sz w:val="20"/>
        </w:rPr>
        <w:t>8</w:t>
      </w:r>
      <w:r w:rsidR="00012D9D" w:rsidRPr="00265DAE">
        <w:rPr>
          <w:rFonts w:ascii="Arial" w:hAnsi="Arial" w:cs="Arial"/>
          <w:sz w:val="20"/>
        </w:rPr>
        <w:t>.</w:t>
      </w:r>
      <w:r w:rsidRPr="00265DAE">
        <w:rPr>
          <w:rFonts w:ascii="Arial" w:hAnsi="Arial" w:cs="Arial"/>
          <w:sz w:val="20"/>
        </w:rPr>
        <w:t xml:space="preserve"> </w:t>
      </w:r>
    </w:p>
    <w:p w14:paraId="4ED6786A" w14:textId="77777777" w:rsidR="00EE4AF0" w:rsidRPr="00265DAE" w:rsidRDefault="00EE4AF0" w:rsidP="00B74C3B">
      <w:pPr>
        <w:widowControl w:val="0"/>
        <w:shd w:val="clear" w:color="auto" w:fill="F3F3F3"/>
        <w:tabs>
          <w:tab w:val="left" w:pos="7766"/>
        </w:tabs>
        <w:spacing w:before="120" w:after="120"/>
        <w:rPr>
          <w:rFonts w:ascii="Arial" w:hAnsi="Arial" w:cs="Arial"/>
          <w:b/>
          <w:snapToGrid w:val="0"/>
          <w:sz w:val="20"/>
        </w:rPr>
      </w:pPr>
      <w:r w:rsidRPr="00265DAE">
        <w:rPr>
          <w:rFonts w:ascii="Arial" w:hAnsi="Arial" w:cs="Arial"/>
          <w:b/>
          <w:snapToGrid w:val="0"/>
          <w:sz w:val="20"/>
        </w:rPr>
        <w:t>1</w:t>
      </w:r>
      <w:r w:rsidR="008273A3" w:rsidRPr="00265DAE">
        <w:rPr>
          <w:rFonts w:ascii="Arial" w:hAnsi="Arial" w:cs="Arial"/>
          <w:b/>
          <w:snapToGrid w:val="0"/>
          <w:sz w:val="20"/>
        </w:rPr>
        <w:t>4</w:t>
      </w:r>
      <w:r w:rsidRPr="00265DAE">
        <w:rPr>
          <w:rFonts w:ascii="Arial" w:hAnsi="Arial" w:cs="Arial"/>
          <w:b/>
          <w:snapToGrid w:val="0"/>
          <w:sz w:val="20"/>
        </w:rPr>
        <w:t xml:space="preserve">. COMPENSI AGLI </w:t>
      </w:r>
      <w:r w:rsidR="00F35322" w:rsidRPr="00265DAE">
        <w:rPr>
          <w:rFonts w:ascii="Arial" w:hAnsi="Arial" w:cs="Arial"/>
          <w:b/>
          <w:snapToGrid w:val="0"/>
          <w:sz w:val="20"/>
        </w:rPr>
        <w:t>AMMINISTRATORI (</w:t>
      </w:r>
      <w:r w:rsidRPr="00265DAE">
        <w:rPr>
          <w:rFonts w:ascii="Arial" w:hAnsi="Arial" w:cs="Arial"/>
          <w:b/>
          <w:snapToGrid w:val="0"/>
          <w:sz w:val="20"/>
        </w:rPr>
        <w:t>ART. 2427 co. 1 n. 16)</w:t>
      </w:r>
    </w:p>
    <w:p w14:paraId="14D663EF" w14:textId="4A186256" w:rsidR="00F26D29" w:rsidRDefault="00EE4AF0" w:rsidP="00B74C3B">
      <w:pPr>
        <w:widowControl w:val="0"/>
        <w:spacing w:before="120"/>
        <w:jc w:val="both"/>
        <w:rPr>
          <w:rFonts w:ascii="Arial" w:hAnsi="Arial" w:cs="Arial"/>
          <w:b/>
          <w:snapToGrid w:val="0"/>
          <w:sz w:val="20"/>
        </w:rPr>
      </w:pPr>
      <w:r w:rsidRPr="00265DAE">
        <w:rPr>
          <w:rFonts w:ascii="Arial" w:hAnsi="Arial" w:cs="Arial"/>
          <w:snapToGrid w:val="0"/>
          <w:sz w:val="20"/>
        </w:rPr>
        <w:t>Ai sensi di legge si informa che i co</w:t>
      </w:r>
      <w:r w:rsidR="009240C9" w:rsidRPr="00265DAE">
        <w:rPr>
          <w:rFonts w:ascii="Arial" w:hAnsi="Arial" w:cs="Arial"/>
          <w:snapToGrid w:val="0"/>
          <w:sz w:val="20"/>
        </w:rPr>
        <w:t>mpensi imputati n</w:t>
      </w:r>
      <w:r w:rsidR="00012D9D" w:rsidRPr="00265DAE">
        <w:rPr>
          <w:rFonts w:ascii="Arial" w:hAnsi="Arial" w:cs="Arial"/>
          <w:snapToGrid w:val="0"/>
          <w:sz w:val="20"/>
        </w:rPr>
        <w:t>el bilancio 201</w:t>
      </w:r>
      <w:r w:rsidR="001C5C38">
        <w:rPr>
          <w:rFonts w:ascii="Arial" w:hAnsi="Arial" w:cs="Arial"/>
          <w:snapToGrid w:val="0"/>
          <w:sz w:val="20"/>
        </w:rPr>
        <w:t>9</w:t>
      </w:r>
      <w:r w:rsidRPr="00265DAE">
        <w:rPr>
          <w:rFonts w:ascii="Arial" w:hAnsi="Arial" w:cs="Arial"/>
          <w:snapToGrid w:val="0"/>
          <w:sz w:val="20"/>
        </w:rPr>
        <w:t xml:space="preserve"> agli amministratori ed ai membri del collegio sindacale sono ripartiti come segue:</w:t>
      </w:r>
      <w:r w:rsidR="00F26D29" w:rsidRPr="00265DAE">
        <w:rPr>
          <w:rFonts w:ascii="Arial" w:hAnsi="Arial" w:cs="Arial"/>
          <w:b/>
          <w:snapToGrid w:val="0"/>
          <w:sz w:val="20"/>
        </w:rPr>
        <w:t xml:space="preserve"> </w:t>
      </w:r>
    </w:p>
    <w:p w14:paraId="7FC4911A" w14:textId="2982A110" w:rsidR="002D0CA9" w:rsidRPr="00265DAE" w:rsidRDefault="00CE6109" w:rsidP="00B74C3B">
      <w:pPr>
        <w:widowControl w:val="0"/>
        <w:spacing w:before="120"/>
        <w:jc w:val="both"/>
        <w:rPr>
          <w:rFonts w:ascii="Arial" w:hAnsi="Arial" w:cs="Arial"/>
          <w:b/>
          <w:snapToGrid w:val="0"/>
          <w:sz w:val="20"/>
        </w:rPr>
      </w:pPr>
      <w:r>
        <w:rPr>
          <w:noProof/>
        </w:rPr>
        <w:drawing>
          <wp:inline distT="0" distB="0" distL="0" distR="0" wp14:anchorId="3EDFC46F" wp14:editId="0DDB1A0A">
            <wp:extent cx="5400675" cy="1514475"/>
            <wp:effectExtent l="0" t="0" r="9525"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675" cy="1514475"/>
                    </a:xfrm>
                    <a:prstGeom prst="rect">
                      <a:avLst/>
                    </a:prstGeom>
                    <a:noFill/>
                    <a:ln>
                      <a:noFill/>
                    </a:ln>
                  </pic:spPr>
                </pic:pic>
              </a:graphicData>
            </a:graphic>
          </wp:inline>
        </w:drawing>
      </w:r>
    </w:p>
    <w:p w14:paraId="32FF8503" w14:textId="77777777" w:rsidR="001A4984" w:rsidRPr="002D0CA9" w:rsidRDefault="001A4984" w:rsidP="00B74C3B">
      <w:pPr>
        <w:widowControl w:val="0"/>
        <w:shd w:val="clear" w:color="auto" w:fill="F3F3F3"/>
        <w:tabs>
          <w:tab w:val="left" w:pos="7766"/>
        </w:tabs>
        <w:spacing w:before="120" w:after="120"/>
        <w:rPr>
          <w:rFonts w:ascii="Arial" w:hAnsi="Arial" w:cs="Arial"/>
          <w:b/>
          <w:snapToGrid w:val="0"/>
          <w:sz w:val="20"/>
        </w:rPr>
      </w:pPr>
      <w:r w:rsidRPr="002D0CA9">
        <w:rPr>
          <w:rFonts w:ascii="Arial" w:hAnsi="Arial" w:cs="Arial"/>
          <w:b/>
          <w:snapToGrid w:val="0"/>
          <w:sz w:val="20"/>
        </w:rPr>
        <w:t>1</w:t>
      </w:r>
      <w:r w:rsidR="008273A3" w:rsidRPr="002D0CA9">
        <w:rPr>
          <w:rFonts w:ascii="Arial" w:hAnsi="Arial" w:cs="Arial"/>
          <w:b/>
          <w:snapToGrid w:val="0"/>
          <w:sz w:val="20"/>
        </w:rPr>
        <w:t>5</w:t>
      </w:r>
      <w:r w:rsidRPr="002D0CA9">
        <w:rPr>
          <w:rFonts w:ascii="Arial" w:hAnsi="Arial" w:cs="Arial"/>
          <w:b/>
          <w:snapToGrid w:val="0"/>
          <w:sz w:val="20"/>
        </w:rPr>
        <w:t xml:space="preserve">. COMPENSI SOCIETA’ DI </w:t>
      </w:r>
      <w:r w:rsidR="00C34F37" w:rsidRPr="002D0CA9">
        <w:rPr>
          <w:rFonts w:ascii="Arial" w:hAnsi="Arial" w:cs="Arial"/>
          <w:b/>
          <w:snapToGrid w:val="0"/>
          <w:sz w:val="20"/>
        </w:rPr>
        <w:t>REVISIONE (</w:t>
      </w:r>
      <w:r w:rsidRPr="002D0CA9">
        <w:rPr>
          <w:rFonts w:ascii="Arial" w:hAnsi="Arial" w:cs="Arial"/>
          <w:b/>
          <w:snapToGrid w:val="0"/>
          <w:sz w:val="20"/>
        </w:rPr>
        <w:t>ART. 2427 co. 1 n. 16-bis)</w:t>
      </w:r>
    </w:p>
    <w:p w14:paraId="0F9E9398" w14:textId="77777777" w:rsidR="001A4984" w:rsidRPr="002D0CA9" w:rsidRDefault="001A4984" w:rsidP="00B74C3B">
      <w:pPr>
        <w:widowControl w:val="0"/>
        <w:spacing w:before="120" w:after="120"/>
        <w:jc w:val="both"/>
        <w:rPr>
          <w:rFonts w:ascii="Arial" w:hAnsi="Arial" w:cs="Arial"/>
          <w:snapToGrid w:val="0"/>
          <w:sz w:val="20"/>
        </w:rPr>
      </w:pPr>
      <w:r w:rsidRPr="002D0CA9">
        <w:rPr>
          <w:rFonts w:ascii="Arial" w:hAnsi="Arial" w:cs="Arial"/>
          <w:snapToGrid w:val="0"/>
          <w:sz w:val="20"/>
        </w:rPr>
        <w:t xml:space="preserve">Il corrispettivo complessivo per la revisione legale dei conti </w:t>
      </w:r>
      <w:r w:rsidR="00C34F37">
        <w:rPr>
          <w:rFonts w:ascii="Arial" w:hAnsi="Arial" w:cs="Arial"/>
          <w:snapToGrid w:val="0"/>
          <w:sz w:val="20"/>
        </w:rPr>
        <w:t>è stato indicato in sede di commento della voce dei costi per servizi</w:t>
      </w:r>
      <w:r w:rsidRPr="002D0CA9">
        <w:rPr>
          <w:rFonts w:ascii="Arial" w:hAnsi="Arial" w:cs="Arial"/>
          <w:snapToGrid w:val="0"/>
          <w:sz w:val="20"/>
        </w:rPr>
        <w:t>.</w:t>
      </w:r>
    </w:p>
    <w:p w14:paraId="5190D6FB" w14:textId="77777777" w:rsidR="00EE4AF0" w:rsidRPr="002D0CA9" w:rsidRDefault="00EE4AF0" w:rsidP="00B74C3B">
      <w:pPr>
        <w:widowControl w:val="0"/>
        <w:shd w:val="clear" w:color="auto" w:fill="F3F3F3"/>
        <w:tabs>
          <w:tab w:val="left" w:pos="7766"/>
        </w:tabs>
        <w:spacing w:before="120" w:after="120"/>
        <w:rPr>
          <w:rFonts w:ascii="Arial" w:hAnsi="Arial" w:cs="Arial"/>
          <w:b/>
          <w:snapToGrid w:val="0"/>
          <w:sz w:val="20"/>
        </w:rPr>
      </w:pPr>
      <w:r w:rsidRPr="002D0CA9">
        <w:rPr>
          <w:rFonts w:ascii="Arial" w:hAnsi="Arial" w:cs="Arial"/>
          <w:b/>
          <w:snapToGrid w:val="0"/>
          <w:sz w:val="20"/>
        </w:rPr>
        <w:t>1</w:t>
      </w:r>
      <w:r w:rsidR="008273A3" w:rsidRPr="002D0CA9">
        <w:rPr>
          <w:rFonts w:ascii="Arial" w:hAnsi="Arial" w:cs="Arial"/>
          <w:b/>
          <w:snapToGrid w:val="0"/>
          <w:sz w:val="20"/>
        </w:rPr>
        <w:t>6</w:t>
      </w:r>
      <w:r w:rsidRPr="002D0CA9">
        <w:rPr>
          <w:rFonts w:ascii="Arial" w:hAnsi="Arial" w:cs="Arial"/>
          <w:b/>
          <w:snapToGrid w:val="0"/>
          <w:sz w:val="20"/>
        </w:rPr>
        <w:t>. COMPOSIZIONE DEL CAPITALE SOCIALE (ART. 2427 co. 1 n. 17)</w:t>
      </w:r>
    </w:p>
    <w:p w14:paraId="3C942DD4" w14:textId="125DE223" w:rsidR="000B1602" w:rsidRPr="002D0CA9" w:rsidRDefault="00EE4AF0" w:rsidP="00B74C3B">
      <w:pPr>
        <w:widowControl w:val="0"/>
        <w:spacing w:before="120" w:after="120"/>
        <w:jc w:val="both"/>
        <w:rPr>
          <w:rFonts w:ascii="Arial" w:hAnsi="Arial" w:cs="Arial"/>
          <w:sz w:val="20"/>
        </w:rPr>
      </w:pPr>
      <w:r w:rsidRPr="002D0CA9">
        <w:rPr>
          <w:rFonts w:ascii="Arial" w:hAnsi="Arial" w:cs="Arial"/>
          <w:sz w:val="20"/>
        </w:rPr>
        <w:t>Il c</w:t>
      </w:r>
      <w:r w:rsidR="0057263A" w:rsidRPr="002D0CA9">
        <w:rPr>
          <w:rFonts w:ascii="Arial" w:hAnsi="Arial" w:cs="Arial"/>
          <w:sz w:val="20"/>
        </w:rPr>
        <w:t xml:space="preserve">apitale </w:t>
      </w:r>
      <w:r w:rsidR="001C5C38">
        <w:rPr>
          <w:rFonts w:ascii="Arial" w:hAnsi="Arial" w:cs="Arial"/>
          <w:sz w:val="20"/>
        </w:rPr>
        <w:t>sociale</w:t>
      </w:r>
      <w:r w:rsidR="0057263A" w:rsidRPr="002D0CA9">
        <w:rPr>
          <w:rFonts w:ascii="Arial" w:hAnsi="Arial" w:cs="Arial"/>
          <w:sz w:val="20"/>
        </w:rPr>
        <w:t xml:space="preserve"> </w:t>
      </w:r>
      <w:r w:rsidR="000B1602" w:rsidRPr="002D0CA9">
        <w:rPr>
          <w:rFonts w:ascii="Arial" w:hAnsi="Arial" w:cs="Arial"/>
          <w:sz w:val="20"/>
        </w:rPr>
        <w:t>al 31/12/201</w:t>
      </w:r>
      <w:r w:rsidR="001C5C38">
        <w:rPr>
          <w:rFonts w:ascii="Arial" w:hAnsi="Arial" w:cs="Arial"/>
          <w:sz w:val="20"/>
        </w:rPr>
        <w:t>9</w:t>
      </w:r>
      <w:r w:rsidR="000B1602" w:rsidRPr="002D0CA9">
        <w:rPr>
          <w:rFonts w:ascii="Arial" w:hAnsi="Arial" w:cs="Arial"/>
          <w:sz w:val="20"/>
        </w:rPr>
        <w:t xml:space="preserve"> della Napoli Holding </w:t>
      </w:r>
      <w:r w:rsidR="001A4984" w:rsidRPr="002D0CA9">
        <w:rPr>
          <w:rFonts w:ascii="Arial" w:hAnsi="Arial" w:cs="Arial"/>
          <w:sz w:val="20"/>
        </w:rPr>
        <w:t>S.r.l.</w:t>
      </w:r>
      <w:r w:rsidR="000B1602" w:rsidRPr="002D0CA9">
        <w:rPr>
          <w:rFonts w:ascii="Arial" w:hAnsi="Arial" w:cs="Arial"/>
          <w:sz w:val="20"/>
        </w:rPr>
        <w:t xml:space="preserve"> </w:t>
      </w:r>
      <w:r w:rsidR="0057263A" w:rsidRPr="002D0CA9">
        <w:rPr>
          <w:rFonts w:ascii="Arial" w:hAnsi="Arial" w:cs="Arial"/>
          <w:sz w:val="20"/>
        </w:rPr>
        <w:t xml:space="preserve">è pari a </w:t>
      </w:r>
      <w:r w:rsidR="00C34F37" w:rsidRPr="002D0CA9">
        <w:rPr>
          <w:rFonts w:ascii="Arial" w:hAnsi="Arial" w:cs="Arial"/>
          <w:sz w:val="20"/>
        </w:rPr>
        <w:t>euro</w:t>
      </w:r>
      <w:r w:rsidRPr="002D0CA9">
        <w:rPr>
          <w:rFonts w:ascii="Arial" w:hAnsi="Arial" w:cs="Arial"/>
          <w:sz w:val="20"/>
        </w:rPr>
        <w:t xml:space="preserve"> </w:t>
      </w:r>
      <w:r w:rsidR="002D0CA9" w:rsidRPr="002D0CA9">
        <w:rPr>
          <w:rFonts w:ascii="Arial" w:hAnsi="Arial" w:cs="Arial"/>
          <w:sz w:val="20"/>
        </w:rPr>
        <w:t>15.262.735</w:t>
      </w:r>
      <w:r w:rsidRPr="002D0CA9">
        <w:rPr>
          <w:rFonts w:ascii="Arial" w:hAnsi="Arial" w:cs="Arial"/>
          <w:sz w:val="20"/>
        </w:rPr>
        <w:t xml:space="preserve"> e risulta interamente versato.</w:t>
      </w:r>
      <w:r w:rsidR="000B1602" w:rsidRPr="002D0CA9">
        <w:rPr>
          <w:rFonts w:ascii="Arial" w:hAnsi="Arial" w:cs="Arial"/>
          <w:sz w:val="20"/>
        </w:rPr>
        <w:t xml:space="preserve"> </w:t>
      </w:r>
    </w:p>
    <w:p w14:paraId="1BAF0545" w14:textId="77777777" w:rsidR="00EE4AF0" w:rsidRPr="002D0CA9" w:rsidRDefault="00EE4AF0" w:rsidP="00B74C3B">
      <w:pPr>
        <w:widowControl w:val="0"/>
        <w:shd w:val="clear" w:color="auto" w:fill="F3F3F3"/>
        <w:tabs>
          <w:tab w:val="left" w:pos="567"/>
          <w:tab w:val="left" w:pos="7766"/>
        </w:tabs>
        <w:spacing w:before="120" w:after="120"/>
        <w:rPr>
          <w:rFonts w:ascii="Arial" w:hAnsi="Arial" w:cs="Arial"/>
          <w:b/>
          <w:snapToGrid w:val="0"/>
          <w:sz w:val="20"/>
        </w:rPr>
      </w:pPr>
      <w:r w:rsidRPr="002D0CA9">
        <w:rPr>
          <w:rFonts w:ascii="Arial" w:hAnsi="Arial" w:cs="Arial"/>
          <w:b/>
          <w:snapToGrid w:val="0"/>
          <w:sz w:val="20"/>
        </w:rPr>
        <w:t>1</w:t>
      </w:r>
      <w:r w:rsidR="008273A3" w:rsidRPr="002D0CA9">
        <w:rPr>
          <w:rFonts w:ascii="Arial" w:hAnsi="Arial" w:cs="Arial"/>
          <w:b/>
          <w:snapToGrid w:val="0"/>
          <w:sz w:val="20"/>
        </w:rPr>
        <w:t>7</w:t>
      </w:r>
      <w:r w:rsidRPr="002D0CA9">
        <w:rPr>
          <w:rFonts w:ascii="Arial" w:hAnsi="Arial" w:cs="Arial"/>
          <w:b/>
          <w:snapToGrid w:val="0"/>
          <w:sz w:val="20"/>
        </w:rPr>
        <w:t>. AZIONI DI GODIMENTO E OBBLIGAZIONI CONVERTIBILI (ART. 2427 co. 1 n. 18)</w:t>
      </w:r>
    </w:p>
    <w:p w14:paraId="2469E715" w14:textId="77777777" w:rsidR="00EE4AF0" w:rsidRPr="002D0CA9" w:rsidRDefault="00EE4AF0" w:rsidP="00B74C3B">
      <w:pPr>
        <w:widowControl w:val="0"/>
        <w:spacing w:before="120" w:after="120"/>
        <w:jc w:val="both"/>
        <w:rPr>
          <w:rFonts w:ascii="Arial" w:hAnsi="Arial" w:cs="Arial"/>
          <w:snapToGrid w:val="0"/>
          <w:sz w:val="20"/>
        </w:rPr>
      </w:pPr>
      <w:r w:rsidRPr="002D0CA9">
        <w:rPr>
          <w:rFonts w:ascii="Arial" w:hAnsi="Arial" w:cs="Arial"/>
          <w:snapToGrid w:val="0"/>
          <w:sz w:val="20"/>
        </w:rPr>
        <w:t>Non sussistono.</w:t>
      </w:r>
    </w:p>
    <w:p w14:paraId="0DD2E141" w14:textId="77777777" w:rsidR="00EE4AF0" w:rsidRPr="002D0CA9" w:rsidRDefault="00EE4AF0" w:rsidP="00B74C3B">
      <w:pPr>
        <w:widowControl w:val="0"/>
        <w:shd w:val="clear" w:color="auto" w:fill="F3F3F3"/>
        <w:tabs>
          <w:tab w:val="left" w:pos="567"/>
          <w:tab w:val="left" w:pos="7766"/>
        </w:tabs>
        <w:spacing w:before="120" w:after="120"/>
        <w:rPr>
          <w:rFonts w:ascii="Arial" w:hAnsi="Arial" w:cs="Arial"/>
          <w:b/>
          <w:snapToGrid w:val="0"/>
          <w:sz w:val="20"/>
        </w:rPr>
      </w:pPr>
      <w:r w:rsidRPr="002D0CA9">
        <w:rPr>
          <w:rFonts w:ascii="Arial" w:hAnsi="Arial" w:cs="Arial"/>
          <w:b/>
          <w:snapToGrid w:val="0"/>
          <w:sz w:val="20"/>
        </w:rPr>
        <w:t>1</w:t>
      </w:r>
      <w:r w:rsidR="008273A3" w:rsidRPr="002D0CA9">
        <w:rPr>
          <w:rFonts w:ascii="Arial" w:hAnsi="Arial" w:cs="Arial"/>
          <w:b/>
          <w:snapToGrid w:val="0"/>
          <w:sz w:val="20"/>
        </w:rPr>
        <w:t>8</w:t>
      </w:r>
      <w:r w:rsidRPr="002D0CA9">
        <w:rPr>
          <w:rFonts w:ascii="Arial" w:hAnsi="Arial" w:cs="Arial"/>
          <w:b/>
          <w:snapToGrid w:val="0"/>
          <w:sz w:val="20"/>
        </w:rPr>
        <w:t>. STRUMENTI FINANZIARI (ART. 2427 CO. 1 N. 19)</w:t>
      </w:r>
    </w:p>
    <w:p w14:paraId="6E183F2C" w14:textId="55DE0851" w:rsidR="00EE4AF0" w:rsidRPr="002D0CA9" w:rsidRDefault="002A4703" w:rsidP="00B74C3B">
      <w:pPr>
        <w:widowControl w:val="0"/>
        <w:spacing w:before="120" w:after="120"/>
        <w:jc w:val="both"/>
        <w:rPr>
          <w:rFonts w:ascii="Arial" w:hAnsi="Arial" w:cs="Arial"/>
          <w:snapToGrid w:val="0"/>
          <w:sz w:val="20"/>
        </w:rPr>
      </w:pPr>
      <w:r>
        <w:rPr>
          <w:rFonts w:ascii="Arial" w:hAnsi="Arial" w:cs="Arial"/>
          <w:snapToGrid w:val="0"/>
          <w:sz w:val="20"/>
        </w:rPr>
        <w:t>Il Gruppo</w:t>
      </w:r>
      <w:r w:rsidR="00EE4AF0" w:rsidRPr="002D0CA9">
        <w:rPr>
          <w:rFonts w:ascii="Arial" w:hAnsi="Arial" w:cs="Arial"/>
          <w:snapToGrid w:val="0"/>
          <w:sz w:val="20"/>
        </w:rPr>
        <w:t xml:space="preserve"> non ha emesso strumenti finanziari.</w:t>
      </w:r>
    </w:p>
    <w:p w14:paraId="333C5C8B" w14:textId="77777777" w:rsidR="00EE4AF0" w:rsidRPr="002D0CA9" w:rsidRDefault="00EE4AF0" w:rsidP="00B74C3B">
      <w:pPr>
        <w:widowControl w:val="0"/>
        <w:shd w:val="clear" w:color="auto" w:fill="F3F3F3"/>
        <w:tabs>
          <w:tab w:val="left" w:pos="7766"/>
        </w:tabs>
        <w:spacing w:before="120" w:after="120"/>
        <w:rPr>
          <w:rFonts w:ascii="Arial" w:hAnsi="Arial" w:cs="Arial"/>
          <w:b/>
          <w:snapToGrid w:val="0"/>
          <w:sz w:val="20"/>
        </w:rPr>
      </w:pPr>
      <w:r w:rsidRPr="002D0CA9">
        <w:rPr>
          <w:rFonts w:ascii="Arial" w:hAnsi="Arial" w:cs="Arial"/>
          <w:b/>
          <w:snapToGrid w:val="0"/>
          <w:sz w:val="20"/>
        </w:rPr>
        <w:lastRenderedPageBreak/>
        <w:t>1</w:t>
      </w:r>
      <w:r w:rsidR="008273A3" w:rsidRPr="002D0CA9">
        <w:rPr>
          <w:rFonts w:ascii="Arial" w:hAnsi="Arial" w:cs="Arial"/>
          <w:b/>
          <w:snapToGrid w:val="0"/>
          <w:sz w:val="20"/>
        </w:rPr>
        <w:t>9.</w:t>
      </w:r>
      <w:r w:rsidRPr="002D0CA9">
        <w:rPr>
          <w:rFonts w:ascii="Arial" w:hAnsi="Arial" w:cs="Arial"/>
          <w:b/>
          <w:snapToGrid w:val="0"/>
          <w:sz w:val="20"/>
        </w:rPr>
        <w:t xml:space="preserve"> FINANZIAMENTI DEI SOCI (ART. 2427 CO. 1 N. 19-BIS)</w:t>
      </w:r>
    </w:p>
    <w:p w14:paraId="2DB70728" w14:textId="77777777" w:rsidR="001A4984" w:rsidRPr="002D0CA9" w:rsidRDefault="001A4984" w:rsidP="00B74C3B">
      <w:pPr>
        <w:widowControl w:val="0"/>
        <w:spacing w:before="120" w:after="120"/>
        <w:jc w:val="both"/>
        <w:rPr>
          <w:rFonts w:ascii="Arial" w:hAnsi="Arial" w:cs="Arial"/>
          <w:snapToGrid w:val="0"/>
          <w:sz w:val="20"/>
        </w:rPr>
      </w:pPr>
      <w:r w:rsidRPr="002D0CA9">
        <w:rPr>
          <w:rFonts w:ascii="Arial" w:hAnsi="Arial" w:cs="Arial"/>
          <w:snapToGrid w:val="0"/>
          <w:sz w:val="20"/>
        </w:rPr>
        <w:t>Con riferimento alla controllata, vi sono stati finanziamenti effettuati dai soci.</w:t>
      </w:r>
    </w:p>
    <w:p w14:paraId="619A4805" w14:textId="77777777" w:rsidR="00EE4AF0" w:rsidRPr="002D0CA9" w:rsidRDefault="00EE4AF0" w:rsidP="00B74C3B">
      <w:pPr>
        <w:widowControl w:val="0"/>
        <w:shd w:val="clear" w:color="auto" w:fill="F3F3F3"/>
        <w:tabs>
          <w:tab w:val="left" w:pos="7766"/>
        </w:tabs>
        <w:spacing w:before="120" w:after="120"/>
        <w:rPr>
          <w:rFonts w:ascii="Arial" w:hAnsi="Arial" w:cs="Arial"/>
          <w:b/>
          <w:snapToGrid w:val="0"/>
          <w:sz w:val="20"/>
        </w:rPr>
      </w:pPr>
      <w:r w:rsidRPr="002D0CA9">
        <w:rPr>
          <w:rFonts w:ascii="Arial" w:hAnsi="Arial" w:cs="Arial"/>
          <w:b/>
          <w:snapToGrid w:val="0"/>
          <w:sz w:val="20"/>
        </w:rPr>
        <w:t>20. PATRIMONI DESTINATI A UNO SPECIFICO AFFARE (ART. 2427 co. 1 n. 20)</w:t>
      </w:r>
    </w:p>
    <w:p w14:paraId="76C9D462" w14:textId="77777777" w:rsidR="00EE4AF0" w:rsidRPr="002D0CA9" w:rsidRDefault="00EE4AF0" w:rsidP="00B74C3B">
      <w:pPr>
        <w:widowControl w:val="0"/>
        <w:spacing w:before="120" w:after="120"/>
        <w:jc w:val="both"/>
        <w:rPr>
          <w:rFonts w:ascii="Arial" w:hAnsi="Arial" w:cs="Arial"/>
          <w:snapToGrid w:val="0"/>
          <w:sz w:val="20"/>
        </w:rPr>
      </w:pPr>
      <w:r w:rsidRPr="002D0CA9">
        <w:rPr>
          <w:rFonts w:ascii="Arial" w:hAnsi="Arial" w:cs="Arial"/>
          <w:snapToGrid w:val="0"/>
          <w:sz w:val="20"/>
        </w:rPr>
        <w:t>Non sussistono.</w:t>
      </w:r>
    </w:p>
    <w:p w14:paraId="37E5BB5F" w14:textId="77777777" w:rsidR="00EE4AF0" w:rsidRPr="002D0CA9" w:rsidRDefault="00EE4AF0" w:rsidP="00B74C3B">
      <w:pPr>
        <w:widowControl w:val="0"/>
        <w:shd w:val="clear" w:color="auto" w:fill="F3F3F3"/>
        <w:tabs>
          <w:tab w:val="left" w:pos="7766"/>
        </w:tabs>
        <w:spacing w:before="120" w:after="120"/>
        <w:rPr>
          <w:rFonts w:ascii="Arial" w:hAnsi="Arial" w:cs="Arial"/>
          <w:b/>
          <w:snapToGrid w:val="0"/>
          <w:sz w:val="20"/>
        </w:rPr>
      </w:pPr>
      <w:r w:rsidRPr="002D0CA9">
        <w:rPr>
          <w:rFonts w:ascii="Arial" w:hAnsi="Arial" w:cs="Arial"/>
          <w:b/>
          <w:snapToGrid w:val="0"/>
          <w:sz w:val="20"/>
        </w:rPr>
        <w:t>21. FINANZIAMENTI DESTINATI A UNO SPECIFICO AFFARE (ART. 2427 co. 1 n. 21)</w:t>
      </w:r>
    </w:p>
    <w:p w14:paraId="03520A73" w14:textId="77777777" w:rsidR="00EE4AF0" w:rsidRPr="002D0CA9" w:rsidRDefault="00EE4AF0" w:rsidP="00B74C3B">
      <w:pPr>
        <w:widowControl w:val="0"/>
        <w:spacing w:before="120" w:after="120"/>
        <w:jc w:val="both"/>
        <w:rPr>
          <w:rFonts w:ascii="Arial" w:hAnsi="Arial" w:cs="Arial"/>
          <w:snapToGrid w:val="0"/>
          <w:sz w:val="20"/>
        </w:rPr>
      </w:pPr>
      <w:r w:rsidRPr="002D0CA9">
        <w:rPr>
          <w:rFonts w:ascii="Arial" w:hAnsi="Arial" w:cs="Arial"/>
          <w:snapToGrid w:val="0"/>
          <w:sz w:val="20"/>
        </w:rPr>
        <w:t>Non sussistono.</w:t>
      </w:r>
    </w:p>
    <w:p w14:paraId="7D679692" w14:textId="77777777" w:rsidR="00EE4AF0" w:rsidRPr="002D0CA9" w:rsidRDefault="00EE4AF0" w:rsidP="00B74C3B">
      <w:pPr>
        <w:widowControl w:val="0"/>
        <w:shd w:val="clear" w:color="auto" w:fill="F3F3F3"/>
        <w:tabs>
          <w:tab w:val="left" w:pos="7766"/>
        </w:tabs>
        <w:spacing w:before="120" w:after="120"/>
        <w:rPr>
          <w:rFonts w:ascii="Arial" w:hAnsi="Arial" w:cs="Arial"/>
          <w:b/>
          <w:snapToGrid w:val="0"/>
          <w:sz w:val="20"/>
        </w:rPr>
      </w:pPr>
      <w:r w:rsidRPr="002D0CA9">
        <w:rPr>
          <w:rFonts w:ascii="Arial" w:hAnsi="Arial" w:cs="Arial"/>
          <w:b/>
          <w:snapToGrid w:val="0"/>
          <w:sz w:val="20"/>
        </w:rPr>
        <w:t>22. CONTRATTI DI LEASING FINANZIARIO (ART. 2427 co. 1 n. 22)</w:t>
      </w:r>
    </w:p>
    <w:p w14:paraId="0A08531C" w14:textId="77777777" w:rsidR="00EE4AF0" w:rsidRPr="002D0CA9" w:rsidRDefault="00EE4AF0" w:rsidP="00B74C3B">
      <w:pPr>
        <w:widowControl w:val="0"/>
        <w:spacing w:before="120" w:after="120"/>
        <w:jc w:val="both"/>
        <w:rPr>
          <w:rFonts w:ascii="Arial" w:hAnsi="Arial" w:cs="Arial"/>
          <w:snapToGrid w:val="0"/>
          <w:sz w:val="20"/>
        </w:rPr>
      </w:pPr>
      <w:r w:rsidRPr="002D0CA9">
        <w:rPr>
          <w:rFonts w:ascii="Arial" w:hAnsi="Arial" w:cs="Arial"/>
          <w:snapToGrid w:val="0"/>
          <w:sz w:val="20"/>
        </w:rPr>
        <w:t>Non sussistono.</w:t>
      </w:r>
    </w:p>
    <w:p w14:paraId="7C690B25" w14:textId="77777777" w:rsidR="00EE4AF0" w:rsidRPr="002D0CA9" w:rsidRDefault="00EE4AF0" w:rsidP="00B74C3B">
      <w:pPr>
        <w:widowControl w:val="0"/>
        <w:shd w:val="clear" w:color="auto" w:fill="F3F3F3"/>
        <w:tabs>
          <w:tab w:val="left" w:pos="7766"/>
        </w:tabs>
        <w:spacing w:before="120" w:after="120"/>
        <w:rPr>
          <w:rFonts w:ascii="Arial" w:hAnsi="Arial" w:cs="Arial"/>
          <w:b/>
          <w:snapToGrid w:val="0"/>
          <w:sz w:val="20"/>
        </w:rPr>
      </w:pPr>
      <w:r w:rsidRPr="002D0CA9">
        <w:rPr>
          <w:rFonts w:ascii="Arial" w:hAnsi="Arial" w:cs="Arial"/>
          <w:b/>
          <w:snapToGrid w:val="0"/>
          <w:sz w:val="20"/>
        </w:rPr>
        <w:t>22. bis OPERAZIONI CON PARTI CORRELATE (ART. 2427 co. 1 n. 22.bis)</w:t>
      </w:r>
    </w:p>
    <w:p w14:paraId="64DD9090" w14:textId="77777777" w:rsidR="001002A9" w:rsidRDefault="001A4984" w:rsidP="00B74C3B">
      <w:pPr>
        <w:widowControl w:val="0"/>
        <w:spacing w:before="120" w:after="120"/>
        <w:jc w:val="both"/>
        <w:rPr>
          <w:rFonts w:ascii="Arial" w:hAnsi="Arial" w:cs="Arial"/>
          <w:snapToGrid w:val="0"/>
          <w:sz w:val="20"/>
        </w:rPr>
      </w:pPr>
      <w:r w:rsidRPr="002D0CA9">
        <w:rPr>
          <w:rFonts w:ascii="Arial" w:hAnsi="Arial" w:cs="Arial"/>
          <w:snapToGrid w:val="0"/>
          <w:sz w:val="20"/>
        </w:rPr>
        <w:t xml:space="preserve">I </w:t>
      </w:r>
      <w:r w:rsidR="00EE4AF0" w:rsidRPr="002D0CA9">
        <w:rPr>
          <w:rFonts w:ascii="Arial" w:hAnsi="Arial" w:cs="Arial"/>
          <w:snapToGrid w:val="0"/>
          <w:sz w:val="20"/>
        </w:rPr>
        <w:t xml:space="preserve">rapporti intercorsi </w:t>
      </w:r>
      <w:r w:rsidR="00A04271" w:rsidRPr="002D0CA9">
        <w:rPr>
          <w:rFonts w:ascii="Arial" w:hAnsi="Arial" w:cs="Arial"/>
          <w:snapToGrid w:val="0"/>
          <w:sz w:val="20"/>
        </w:rPr>
        <w:t>con le parti correlate, nel corso dell’esercizio 201</w:t>
      </w:r>
      <w:r w:rsidR="00C34F37">
        <w:rPr>
          <w:rFonts w:ascii="Arial" w:hAnsi="Arial" w:cs="Arial"/>
          <w:snapToGrid w:val="0"/>
          <w:sz w:val="20"/>
        </w:rPr>
        <w:t>9</w:t>
      </w:r>
      <w:r w:rsidR="00A04271" w:rsidRPr="002D0CA9">
        <w:rPr>
          <w:rFonts w:ascii="Arial" w:hAnsi="Arial" w:cs="Arial"/>
          <w:snapToGrid w:val="0"/>
          <w:sz w:val="20"/>
        </w:rPr>
        <w:t xml:space="preserve">, riguardano il Consorzio Unico Campania e </w:t>
      </w:r>
      <w:r w:rsidR="009F3F6A" w:rsidRPr="002D0CA9">
        <w:rPr>
          <w:rFonts w:ascii="Arial" w:hAnsi="Arial" w:cs="Arial"/>
          <w:snapToGrid w:val="0"/>
          <w:sz w:val="20"/>
        </w:rPr>
        <w:t xml:space="preserve">il Comune di Napoli. </w:t>
      </w:r>
      <w:r w:rsidR="008B3C24" w:rsidRPr="002D0CA9">
        <w:rPr>
          <w:rFonts w:ascii="Arial" w:hAnsi="Arial" w:cs="Arial"/>
          <w:snapToGrid w:val="0"/>
          <w:sz w:val="20"/>
        </w:rPr>
        <w:t xml:space="preserve">Tali </w:t>
      </w:r>
      <w:r w:rsidR="00C34F37" w:rsidRPr="002D0CA9">
        <w:rPr>
          <w:rFonts w:ascii="Arial" w:hAnsi="Arial" w:cs="Arial"/>
          <w:snapToGrid w:val="0"/>
          <w:sz w:val="20"/>
        </w:rPr>
        <w:t>rapporti sono</w:t>
      </w:r>
      <w:r w:rsidR="00EE4AF0" w:rsidRPr="002D0CA9">
        <w:rPr>
          <w:rFonts w:ascii="Arial" w:hAnsi="Arial" w:cs="Arial"/>
          <w:snapToGrid w:val="0"/>
          <w:sz w:val="20"/>
        </w:rPr>
        <w:t xml:space="preserve"> stati di natura commerciale</w:t>
      </w:r>
      <w:r w:rsidR="00BD44E1" w:rsidRPr="002D0CA9">
        <w:rPr>
          <w:rFonts w:ascii="Arial" w:hAnsi="Arial" w:cs="Arial"/>
          <w:snapToGrid w:val="0"/>
          <w:sz w:val="20"/>
        </w:rPr>
        <w:t>, c</w:t>
      </w:r>
      <w:r w:rsidR="009510E4">
        <w:rPr>
          <w:rFonts w:ascii="Arial" w:hAnsi="Arial" w:cs="Arial"/>
          <w:snapToGrid w:val="0"/>
          <w:sz w:val="20"/>
        </w:rPr>
        <w:t>onclusi a condizioni di mercato.</w:t>
      </w:r>
    </w:p>
    <w:p w14:paraId="22FFC38C" w14:textId="77777777" w:rsidR="00EE4AF0" w:rsidRPr="001A4984" w:rsidRDefault="00EE4AF0" w:rsidP="001C3AE7">
      <w:pPr>
        <w:widowControl w:val="0"/>
        <w:shd w:val="clear" w:color="auto" w:fill="F3F3F3"/>
        <w:tabs>
          <w:tab w:val="left" w:pos="7766"/>
        </w:tabs>
        <w:spacing w:before="120" w:after="120"/>
        <w:rPr>
          <w:rFonts w:ascii="Arial" w:hAnsi="Arial" w:cs="Arial"/>
          <w:b/>
          <w:snapToGrid w:val="0"/>
          <w:sz w:val="20"/>
        </w:rPr>
      </w:pPr>
      <w:r w:rsidRPr="001A4984">
        <w:rPr>
          <w:rFonts w:ascii="Arial" w:hAnsi="Arial" w:cs="Arial"/>
          <w:b/>
          <w:snapToGrid w:val="0"/>
          <w:sz w:val="20"/>
        </w:rPr>
        <w:t>22. ter OPERAZIONI FUORI BILANCIO (ART. 2427 co. 1 n. 22.ter)</w:t>
      </w:r>
    </w:p>
    <w:p w14:paraId="48FDA687" w14:textId="77777777" w:rsidR="00A90CC4" w:rsidRDefault="00A90CC4" w:rsidP="001C3AE7">
      <w:pPr>
        <w:widowControl w:val="0"/>
        <w:spacing w:before="120" w:after="120"/>
        <w:jc w:val="both"/>
        <w:rPr>
          <w:rFonts w:ascii="Arial" w:hAnsi="Arial" w:cs="Arial"/>
          <w:snapToGrid w:val="0"/>
          <w:sz w:val="20"/>
        </w:rPr>
      </w:pPr>
      <w:r w:rsidRPr="00A90CC4">
        <w:rPr>
          <w:rFonts w:ascii="Arial" w:hAnsi="Arial" w:cs="Arial"/>
          <w:snapToGrid w:val="0"/>
          <w:sz w:val="20"/>
        </w:rPr>
        <w:t xml:space="preserve">Non </w:t>
      </w:r>
      <w:r w:rsidR="00EE14DE" w:rsidRPr="00A90CC4">
        <w:rPr>
          <w:rFonts w:ascii="Arial" w:hAnsi="Arial" w:cs="Arial"/>
          <w:snapToGrid w:val="0"/>
          <w:sz w:val="20"/>
        </w:rPr>
        <w:t>sussistono</w:t>
      </w:r>
      <w:r w:rsidR="00CC0E48">
        <w:rPr>
          <w:rFonts w:ascii="Arial" w:hAnsi="Arial" w:cs="Arial"/>
          <w:snapToGrid w:val="0"/>
          <w:sz w:val="20"/>
        </w:rPr>
        <w:t>.</w:t>
      </w:r>
    </w:p>
    <w:p w14:paraId="45EA6C9F" w14:textId="77777777" w:rsidR="00CC0E48" w:rsidRPr="00CC0E48" w:rsidRDefault="00CC0E48" w:rsidP="00CC0E48">
      <w:pPr>
        <w:widowControl w:val="0"/>
        <w:shd w:val="clear" w:color="auto" w:fill="F3F3F3"/>
        <w:tabs>
          <w:tab w:val="left" w:pos="7766"/>
        </w:tabs>
        <w:spacing w:before="120" w:after="120"/>
        <w:rPr>
          <w:rFonts w:ascii="Arial" w:hAnsi="Arial" w:cs="Arial"/>
          <w:b/>
          <w:snapToGrid w:val="0"/>
          <w:sz w:val="20"/>
        </w:rPr>
      </w:pPr>
      <w:r w:rsidRPr="00CC0E48">
        <w:rPr>
          <w:rFonts w:ascii="Arial" w:hAnsi="Arial" w:cs="Arial"/>
          <w:b/>
          <w:snapToGrid w:val="0"/>
          <w:sz w:val="20"/>
        </w:rPr>
        <w:t xml:space="preserve">22. quater </w:t>
      </w:r>
      <w:r>
        <w:rPr>
          <w:rFonts w:ascii="Arial" w:hAnsi="Arial" w:cs="Arial"/>
          <w:b/>
          <w:snapToGrid w:val="0"/>
          <w:sz w:val="20"/>
        </w:rPr>
        <w:t>FATTI DI RILIEVO INTERVENUTI DOPO LA CHIUSURA DELL’ESERCIZIO ED EVOLUZIONE PREVEDIBILE DELLA GESTIONE</w:t>
      </w:r>
      <w:r w:rsidRPr="00CC0E48">
        <w:rPr>
          <w:rFonts w:ascii="Arial" w:hAnsi="Arial" w:cs="Arial"/>
          <w:b/>
          <w:snapToGrid w:val="0"/>
          <w:sz w:val="20"/>
        </w:rPr>
        <w:t xml:space="preserve"> (ART. 2427 co. 1 n. </w:t>
      </w:r>
      <w:r w:rsidR="00C34F37" w:rsidRPr="00CC0E48">
        <w:rPr>
          <w:rFonts w:ascii="Arial" w:hAnsi="Arial" w:cs="Arial"/>
          <w:b/>
          <w:snapToGrid w:val="0"/>
          <w:sz w:val="20"/>
        </w:rPr>
        <w:t>22. quater</w:t>
      </w:r>
      <w:r w:rsidRPr="00CC0E48">
        <w:rPr>
          <w:rFonts w:ascii="Arial" w:hAnsi="Arial" w:cs="Arial"/>
          <w:b/>
          <w:snapToGrid w:val="0"/>
          <w:sz w:val="20"/>
        </w:rPr>
        <w:t>)</w:t>
      </w:r>
    </w:p>
    <w:p w14:paraId="4D55F8F6" w14:textId="77777777" w:rsidR="00CC0E48" w:rsidRDefault="00CC0E48" w:rsidP="001C3AE7">
      <w:pPr>
        <w:widowControl w:val="0"/>
        <w:spacing w:before="120" w:after="120"/>
        <w:jc w:val="both"/>
        <w:rPr>
          <w:rFonts w:ascii="Arial" w:hAnsi="Arial" w:cs="Arial"/>
          <w:snapToGrid w:val="0"/>
          <w:sz w:val="20"/>
        </w:rPr>
      </w:pPr>
      <w:r>
        <w:rPr>
          <w:rFonts w:ascii="Arial" w:hAnsi="Arial" w:cs="Arial"/>
          <w:snapToGrid w:val="0"/>
          <w:sz w:val="20"/>
        </w:rPr>
        <w:t>Si rinvia a quanto indicato nella relazione sulla gestione.</w:t>
      </w:r>
    </w:p>
    <w:p w14:paraId="763CD01A" w14:textId="77777777" w:rsidR="00EE4AF0" w:rsidRPr="001A4984" w:rsidRDefault="00EE4AF0" w:rsidP="001C3AE7">
      <w:pPr>
        <w:widowControl w:val="0"/>
        <w:shd w:val="clear" w:color="auto" w:fill="F3F3F3"/>
        <w:tabs>
          <w:tab w:val="left" w:pos="7766"/>
        </w:tabs>
        <w:spacing w:before="120" w:after="120"/>
        <w:rPr>
          <w:rFonts w:ascii="Arial" w:hAnsi="Arial" w:cs="Arial"/>
          <w:b/>
          <w:snapToGrid w:val="0"/>
          <w:sz w:val="20"/>
        </w:rPr>
      </w:pPr>
      <w:r w:rsidRPr="001A4984">
        <w:rPr>
          <w:rFonts w:ascii="Arial" w:hAnsi="Arial" w:cs="Arial"/>
          <w:b/>
          <w:snapToGrid w:val="0"/>
          <w:sz w:val="20"/>
        </w:rPr>
        <w:t>23. INFORMATIVA SUL FAIR VALUE DELLE IMMOB. FINANZIARIE DIVERSE DALLE PARTECIPAZIONI (ART. 2427 bis)</w:t>
      </w:r>
    </w:p>
    <w:p w14:paraId="16087460" w14:textId="36B921B2" w:rsidR="00EE4AF0" w:rsidRDefault="00EE4AF0" w:rsidP="001C3AE7">
      <w:pPr>
        <w:widowControl w:val="0"/>
        <w:spacing w:before="120" w:after="120"/>
        <w:jc w:val="both"/>
        <w:rPr>
          <w:rFonts w:ascii="Arial" w:hAnsi="Arial" w:cs="Arial"/>
          <w:snapToGrid w:val="0"/>
          <w:sz w:val="20"/>
          <w:szCs w:val="20"/>
        </w:rPr>
      </w:pPr>
      <w:r>
        <w:rPr>
          <w:rFonts w:ascii="Arial" w:hAnsi="Arial" w:cs="Arial"/>
          <w:snapToGrid w:val="0"/>
          <w:sz w:val="20"/>
          <w:szCs w:val="20"/>
        </w:rPr>
        <w:t>Non sussistono strumenti finanziari derivati</w:t>
      </w:r>
      <w:r w:rsidR="001C5C38">
        <w:rPr>
          <w:rFonts w:ascii="Arial" w:hAnsi="Arial" w:cs="Arial"/>
          <w:snapToGrid w:val="0"/>
          <w:sz w:val="20"/>
          <w:szCs w:val="20"/>
        </w:rPr>
        <w:t>.</w:t>
      </w:r>
    </w:p>
    <w:p w14:paraId="5D655553" w14:textId="77777777" w:rsidR="00EE4AF0" w:rsidRDefault="00EE4AF0" w:rsidP="001C3AE7">
      <w:pPr>
        <w:widowControl w:val="0"/>
        <w:spacing w:before="120" w:after="120"/>
        <w:jc w:val="both"/>
        <w:rPr>
          <w:rFonts w:ascii="Arial" w:hAnsi="Arial" w:cs="Arial"/>
          <w:snapToGrid w:val="0"/>
          <w:sz w:val="20"/>
          <w:szCs w:val="20"/>
        </w:rPr>
      </w:pPr>
      <w:r>
        <w:rPr>
          <w:rFonts w:ascii="Arial" w:hAnsi="Arial" w:cs="Arial"/>
          <w:snapToGrid w:val="0"/>
          <w:sz w:val="20"/>
          <w:szCs w:val="20"/>
        </w:rPr>
        <w:t>Non sussistono immobilizzazioni finanziarie iscritte ad un valore superiore al loro fair value.</w:t>
      </w:r>
    </w:p>
    <w:p w14:paraId="138731D0" w14:textId="77777777" w:rsidR="00EE4AF0" w:rsidRPr="001A4984" w:rsidRDefault="00EE4AF0" w:rsidP="001C3AE7">
      <w:pPr>
        <w:widowControl w:val="0"/>
        <w:shd w:val="clear" w:color="auto" w:fill="F3F3F3"/>
        <w:tabs>
          <w:tab w:val="left" w:pos="7766"/>
        </w:tabs>
        <w:spacing w:before="120" w:after="120"/>
        <w:rPr>
          <w:rFonts w:ascii="Arial" w:hAnsi="Arial" w:cs="Arial"/>
          <w:b/>
          <w:snapToGrid w:val="0"/>
          <w:sz w:val="20"/>
        </w:rPr>
      </w:pPr>
      <w:r w:rsidRPr="001A4984">
        <w:rPr>
          <w:rFonts w:ascii="Arial" w:hAnsi="Arial" w:cs="Arial"/>
          <w:b/>
          <w:snapToGrid w:val="0"/>
          <w:sz w:val="20"/>
        </w:rPr>
        <w:t>24. DIREZIONE E COORDINAMENTO (art.2497 bis co 4)</w:t>
      </w:r>
    </w:p>
    <w:p w14:paraId="448EB82D" w14:textId="41F1EF9B" w:rsidR="00EE4AF0" w:rsidRPr="001A4984" w:rsidRDefault="00EE4AF0" w:rsidP="001C3AE7">
      <w:pPr>
        <w:widowControl w:val="0"/>
        <w:spacing w:before="120" w:after="120"/>
        <w:jc w:val="both"/>
        <w:rPr>
          <w:rFonts w:ascii="Arial" w:hAnsi="Arial" w:cs="Arial"/>
          <w:snapToGrid w:val="0"/>
          <w:sz w:val="20"/>
          <w:szCs w:val="20"/>
        </w:rPr>
      </w:pPr>
      <w:r w:rsidRPr="001A4984">
        <w:rPr>
          <w:rFonts w:ascii="Arial" w:hAnsi="Arial" w:cs="Arial"/>
          <w:snapToGrid w:val="0"/>
          <w:sz w:val="20"/>
          <w:szCs w:val="20"/>
        </w:rPr>
        <w:t xml:space="preserve">In ossequio a quanto disposto dall'art. 2497 bis c.c., si precisa che la </w:t>
      </w:r>
      <w:r w:rsidR="002A4703">
        <w:rPr>
          <w:rFonts w:ascii="Arial" w:hAnsi="Arial" w:cs="Arial"/>
          <w:snapToGrid w:val="0"/>
          <w:sz w:val="20"/>
          <w:szCs w:val="20"/>
        </w:rPr>
        <w:t>s</w:t>
      </w:r>
      <w:r w:rsidRPr="001A4984">
        <w:rPr>
          <w:rFonts w:ascii="Arial" w:hAnsi="Arial" w:cs="Arial"/>
          <w:snapToGrid w:val="0"/>
          <w:sz w:val="20"/>
          <w:szCs w:val="20"/>
        </w:rPr>
        <w:t xml:space="preserve">ocietà </w:t>
      </w:r>
      <w:r w:rsidR="002A4703">
        <w:rPr>
          <w:rFonts w:ascii="Arial" w:hAnsi="Arial" w:cs="Arial"/>
          <w:snapToGrid w:val="0"/>
          <w:sz w:val="20"/>
          <w:szCs w:val="20"/>
        </w:rPr>
        <w:t xml:space="preserve">Capogruppo </w:t>
      </w:r>
      <w:r w:rsidRPr="001A4984">
        <w:rPr>
          <w:rFonts w:ascii="Arial" w:hAnsi="Arial" w:cs="Arial"/>
          <w:snapToGrid w:val="0"/>
          <w:sz w:val="20"/>
          <w:szCs w:val="20"/>
        </w:rPr>
        <w:t>è controllata per il 100% dall’Ente “Comune di Napoli” ed è soggetta alla direzione e al coordinamento dello stesso Ente "Comune di Napoli"</w:t>
      </w:r>
      <w:r w:rsidR="001C5C38">
        <w:rPr>
          <w:rFonts w:ascii="Arial" w:hAnsi="Arial" w:cs="Arial"/>
          <w:snapToGrid w:val="0"/>
          <w:sz w:val="20"/>
          <w:szCs w:val="20"/>
        </w:rPr>
        <w:t>.</w:t>
      </w:r>
    </w:p>
    <w:p w14:paraId="323C785B" w14:textId="77777777" w:rsidR="00EE4AF0" w:rsidRDefault="00EE4AF0" w:rsidP="001C3AE7">
      <w:pPr>
        <w:widowControl w:val="0"/>
        <w:spacing w:before="120" w:after="120"/>
        <w:jc w:val="both"/>
        <w:rPr>
          <w:rFonts w:ascii="Arial" w:hAnsi="Arial" w:cs="Arial"/>
          <w:snapToGrid w:val="0"/>
          <w:sz w:val="20"/>
          <w:szCs w:val="20"/>
        </w:rPr>
      </w:pPr>
      <w:r w:rsidRPr="001A4984">
        <w:rPr>
          <w:rFonts w:ascii="Arial" w:hAnsi="Arial" w:cs="Arial"/>
          <w:snapToGrid w:val="0"/>
          <w:sz w:val="20"/>
          <w:szCs w:val="20"/>
        </w:rPr>
        <w:t xml:space="preserve">In conformità di quanto disposto dall’art. 2497 bis, comma 4 del </w:t>
      </w:r>
      <w:r w:rsidR="00C34F37" w:rsidRPr="001A4984">
        <w:rPr>
          <w:rFonts w:ascii="Arial" w:hAnsi="Arial" w:cs="Arial"/>
          <w:snapToGrid w:val="0"/>
          <w:sz w:val="20"/>
          <w:szCs w:val="20"/>
        </w:rPr>
        <w:t>Codice civile</w:t>
      </w:r>
      <w:r w:rsidRPr="001A4984">
        <w:rPr>
          <w:rFonts w:ascii="Arial" w:hAnsi="Arial" w:cs="Arial"/>
          <w:snapToGrid w:val="0"/>
          <w:sz w:val="20"/>
          <w:szCs w:val="20"/>
        </w:rPr>
        <w:t xml:space="preserve">, si presenta di seguito un prospetto riepilogativo dei dati essenziali </w:t>
      </w:r>
      <w:r w:rsidR="00C25976" w:rsidRPr="001A4984">
        <w:rPr>
          <w:rFonts w:ascii="Arial" w:hAnsi="Arial" w:cs="Arial"/>
          <w:snapToGrid w:val="0"/>
          <w:sz w:val="20"/>
          <w:szCs w:val="20"/>
        </w:rPr>
        <w:t>del rendiconto 201</w:t>
      </w:r>
      <w:r w:rsidR="00C34F37">
        <w:rPr>
          <w:rFonts w:ascii="Arial" w:hAnsi="Arial" w:cs="Arial"/>
          <w:snapToGrid w:val="0"/>
          <w:sz w:val="20"/>
          <w:szCs w:val="20"/>
        </w:rPr>
        <w:t>9</w:t>
      </w:r>
      <w:r w:rsidR="00C25976" w:rsidRPr="001A4984">
        <w:rPr>
          <w:rFonts w:ascii="Arial" w:hAnsi="Arial" w:cs="Arial"/>
          <w:snapToGrid w:val="0"/>
          <w:sz w:val="20"/>
          <w:szCs w:val="20"/>
        </w:rPr>
        <w:t xml:space="preserve"> del Comune di Napoli</w:t>
      </w:r>
    </w:p>
    <w:p w14:paraId="54E20503" w14:textId="11EE7FC4" w:rsidR="00D50038" w:rsidRDefault="00C261A6" w:rsidP="001C3AE7">
      <w:pPr>
        <w:widowControl w:val="0"/>
        <w:jc w:val="both"/>
        <w:rPr>
          <w:rFonts w:ascii="Arial" w:hAnsi="Arial" w:cs="Arial"/>
          <w:sz w:val="20"/>
        </w:rPr>
      </w:pPr>
      <w:r>
        <w:rPr>
          <w:rFonts w:ascii="Arial" w:hAnsi="Arial" w:cs="Arial"/>
          <w:sz w:val="20"/>
        </w:rPr>
        <w:t xml:space="preserve"> </w:t>
      </w:r>
      <w:r w:rsidRPr="00C261A6">
        <w:rPr>
          <w:rFonts w:ascii="Arial" w:hAnsi="Arial" w:cs="Arial"/>
          <w:i/>
          <w:iCs/>
          <w:sz w:val="20"/>
        </w:rPr>
        <w:t>Euro/000</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827"/>
      </w:tblGrid>
      <w:tr w:rsidR="00C34F37" w:rsidRPr="00C34F37" w14:paraId="654AE92E" w14:textId="77777777" w:rsidTr="00C34F37">
        <w:tc>
          <w:tcPr>
            <w:tcW w:w="4820" w:type="dxa"/>
          </w:tcPr>
          <w:p w14:paraId="7DE728A4" w14:textId="77777777" w:rsidR="00C34F37" w:rsidRPr="00C34F37" w:rsidRDefault="00C34F37" w:rsidP="00C34F37">
            <w:pPr>
              <w:widowControl w:val="0"/>
              <w:spacing w:line="360" w:lineRule="auto"/>
              <w:jc w:val="center"/>
              <w:rPr>
                <w:rFonts w:ascii="Arial" w:hAnsi="Arial" w:cs="Arial"/>
                <w:b/>
                <w:bCs/>
                <w:sz w:val="20"/>
              </w:rPr>
            </w:pPr>
            <w:r w:rsidRPr="00C34F37">
              <w:rPr>
                <w:rFonts w:ascii="Arial" w:hAnsi="Arial" w:cs="Arial"/>
                <w:b/>
                <w:bCs/>
                <w:sz w:val="20"/>
              </w:rPr>
              <w:t>Descrizione Importo</w:t>
            </w:r>
          </w:p>
        </w:tc>
        <w:tc>
          <w:tcPr>
            <w:tcW w:w="3827" w:type="dxa"/>
          </w:tcPr>
          <w:p w14:paraId="280F12A4" w14:textId="77777777" w:rsidR="00C34F37" w:rsidRPr="00C34F37" w:rsidRDefault="00C34F37" w:rsidP="00C34F37">
            <w:pPr>
              <w:widowControl w:val="0"/>
              <w:spacing w:line="360" w:lineRule="auto"/>
              <w:jc w:val="center"/>
              <w:rPr>
                <w:rFonts w:ascii="Arial" w:hAnsi="Arial" w:cs="Arial"/>
                <w:b/>
                <w:bCs/>
                <w:sz w:val="20"/>
              </w:rPr>
            </w:pPr>
            <w:r w:rsidRPr="00C34F37">
              <w:rPr>
                <w:rFonts w:ascii="Arial" w:hAnsi="Arial" w:cs="Arial"/>
                <w:b/>
                <w:bCs/>
                <w:sz w:val="20"/>
              </w:rPr>
              <w:t>Importi espressi in euro/000.</w:t>
            </w:r>
          </w:p>
        </w:tc>
      </w:tr>
      <w:tr w:rsidR="00C34F37" w:rsidRPr="00C34F37" w14:paraId="607D222A" w14:textId="77777777" w:rsidTr="00C34F37">
        <w:tc>
          <w:tcPr>
            <w:tcW w:w="4820" w:type="dxa"/>
          </w:tcPr>
          <w:p w14:paraId="05E06E1E" w14:textId="77777777" w:rsidR="00C34F37" w:rsidRPr="00C34F37" w:rsidRDefault="00C34F37" w:rsidP="00C34F37">
            <w:pPr>
              <w:widowControl w:val="0"/>
              <w:spacing w:line="360" w:lineRule="auto"/>
              <w:jc w:val="both"/>
              <w:rPr>
                <w:rFonts w:ascii="Arial" w:hAnsi="Arial" w:cs="Arial"/>
                <w:sz w:val="20"/>
              </w:rPr>
            </w:pPr>
            <w:r w:rsidRPr="00C34F37">
              <w:rPr>
                <w:rFonts w:ascii="Arial" w:hAnsi="Arial" w:cs="Arial"/>
                <w:sz w:val="20"/>
              </w:rPr>
              <w:t xml:space="preserve">Entrate accertate </w:t>
            </w:r>
          </w:p>
        </w:tc>
        <w:tc>
          <w:tcPr>
            <w:tcW w:w="3827" w:type="dxa"/>
          </w:tcPr>
          <w:p w14:paraId="0DED37AA" w14:textId="77777777" w:rsidR="00C34F37" w:rsidRPr="00C34F37" w:rsidRDefault="00C34F37" w:rsidP="00C34F37">
            <w:pPr>
              <w:widowControl w:val="0"/>
              <w:spacing w:line="360" w:lineRule="auto"/>
              <w:jc w:val="right"/>
              <w:rPr>
                <w:rFonts w:ascii="Arial" w:hAnsi="Arial" w:cs="Arial"/>
                <w:sz w:val="20"/>
              </w:rPr>
            </w:pPr>
            <w:r w:rsidRPr="00C34F37">
              <w:rPr>
                <w:rFonts w:ascii="Arial" w:hAnsi="Arial" w:cs="Arial"/>
                <w:sz w:val="20"/>
              </w:rPr>
              <w:t>4.426.094</w:t>
            </w:r>
          </w:p>
        </w:tc>
      </w:tr>
      <w:tr w:rsidR="00C34F37" w:rsidRPr="00C34F37" w14:paraId="6E5C8458" w14:textId="77777777" w:rsidTr="00C34F37">
        <w:tc>
          <w:tcPr>
            <w:tcW w:w="4820" w:type="dxa"/>
          </w:tcPr>
          <w:p w14:paraId="3B9481F2" w14:textId="77777777" w:rsidR="00C34F37" w:rsidRPr="00C34F37" w:rsidRDefault="00C34F37" w:rsidP="00C34F37">
            <w:pPr>
              <w:widowControl w:val="0"/>
              <w:spacing w:line="360" w:lineRule="auto"/>
              <w:jc w:val="both"/>
              <w:rPr>
                <w:rFonts w:ascii="Arial" w:hAnsi="Arial" w:cs="Arial"/>
                <w:sz w:val="20"/>
              </w:rPr>
            </w:pPr>
            <w:r w:rsidRPr="00C34F37">
              <w:rPr>
                <w:rFonts w:ascii="Arial" w:hAnsi="Arial" w:cs="Arial"/>
                <w:sz w:val="20"/>
              </w:rPr>
              <w:t xml:space="preserve">Spese impegnate </w:t>
            </w:r>
          </w:p>
        </w:tc>
        <w:tc>
          <w:tcPr>
            <w:tcW w:w="3827" w:type="dxa"/>
          </w:tcPr>
          <w:p w14:paraId="4B49EED7" w14:textId="77777777" w:rsidR="00C34F37" w:rsidRPr="00C34F37" w:rsidRDefault="00C34F37" w:rsidP="00C34F37">
            <w:pPr>
              <w:widowControl w:val="0"/>
              <w:spacing w:line="360" w:lineRule="auto"/>
              <w:jc w:val="right"/>
              <w:rPr>
                <w:rFonts w:ascii="Arial" w:hAnsi="Arial" w:cs="Arial"/>
                <w:sz w:val="20"/>
              </w:rPr>
            </w:pPr>
            <w:r w:rsidRPr="00C34F37">
              <w:rPr>
                <w:rFonts w:ascii="Arial" w:hAnsi="Arial" w:cs="Arial"/>
                <w:sz w:val="20"/>
              </w:rPr>
              <w:t>4.322.019</w:t>
            </w:r>
          </w:p>
        </w:tc>
      </w:tr>
      <w:tr w:rsidR="00C34F37" w:rsidRPr="00C34F37" w14:paraId="0E5DA96A" w14:textId="77777777" w:rsidTr="00C34F37">
        <w:tc>
          <w:tcPr>
            <w:tcW w:w="4820" w:type="dxa"/>
          </w:tcPr>
          <w:p w14:paraId="6E4E26CB" w14:textId="77777777" w:rsidR="00C34F37" w:rsidRPr="00C34F37" w:rsidRDefault="00C34F37" w:rsidP="00C34F37">
            <w:pPr>
              <w:widowControl w:val="0"/>
              <w:spacing w:line="360" w:lineRule="auto"/>
              <w:jc w:val="both"/>
              <w:rPr>
                <w:rFonts w:ascii="Arial" w:hAnsi="Arial" w:cs="Arial"/>
                <w:sz w:val="20"/>
              </w:rPr>
            </w:pPr>
            <w:r w:rsidRPr="00C34F37">
              <w:rPr>
                <w:rFonts w:ascii="Arial" w:hAnsi="Arial" w:cs="Arial"/>
                <w:sz w:val="20"/>
              </w:rPr>
              <w:t xml:space="preserve">Risultato finale di competenza </w:t>
            </w:r>
          </w:p>
        </w:tc>
        <w:tc>
          <w:tcPr>
            <w:tcW w:w="3827" w:type="dxa"/>
          </w:tcPr>
          <w:p w14:paraId="47331948" w14:textId="77777777" w:rsidR="00C34F37" w:rsidRPr="00C34F37" w:rsidRDefault="00C34F37" w:rsidP="00C34F37">
            <w:pPr>
              <w:widowControl w:val="0"/>
              <w:spacing w:line="360" w:lineRule="auto"/>
              <w:jc w:val="right"/>
              <w:rPr>
                <w:rFonts w:ascii="Arial" w:hAnsi="Arial" w:cs="Arial"/>
                <w:sz w:val="20"/>
              </w:rPr>
            </w:pPr>
            <w:r w:rsidRPr="00C34F37">
              <w:rPr>
                <w:rFonts w:ascii="Arial" w:hAnsi="Arial" w:cs="Arial"/>
                <w:sz w:val="20"/>
              </w:rPr>
              <w:t>274.380</w:t>
            </w:r>
          </w:p>
        </w:tc>
      </w:tr>
      <w:tr w:rsidR="00C34F37" w:rsidRPr="00C34F37" w14:paraId="16B4E668" w14:textId="77777777" w:rsidTr="00C34F37">
        <w:tc>
          <w:tcPr>
            <w:tcW w:w="4820" w:type="dxa"/>
          </w:tcPr>
          <w:p w14:paraId="3A38FB36" w14:textId="77777777" w:rsidR="00C34F37" w:rsidRPr="00C34F37" w:rsidRDefault="00C34F37" w:rsidP="00C34F37">
            <w:pPr>
              <w:widowControl w:val="0"/>
              <w:spacing w:line="360" w:lineRule="auto"/>
              <w:jc w:val="both"/>
              <w:rPr>
                <w:rFonts w:ascii="Arial" w:hAnsi="Arial" w:cs="Arial"/>
                <w:sz w:val="20"/>
              </w:rPr>
            </w:pPr>
            <w:r w:rsidRPr="00C34F37">
              <w:rPr>
                <w:rFonts w:ascii="Arial" w:hAnsi="Arial" w:cs="Arial"/>
                <w:sz w:val="20"/>
              </w:rPr>
              <w:t xml:space="preserve">Risultato di amministrazione </w:t>
            </w:r>
          </w:p>
        </w:tc>
        <w:tc>
          <w:tcPr>
            <w:tcW w:w="3827" w:type="dxa"/>
          </w:tcPr>
          <w:p w14:paraId="370A06D5" w14:textId="77777777" w:rsidR="00C34F37" w:rsidRPr="00C34F37" w:rsidRDefault="00C34F37" w:rsidP="00C34F37">
            <w:pPr>
              <w:widowControl w:val="0"/>
              <w:spacing w:line="360" w:lineRule="auto"/>
              <w:jc w:val="right"/>
              <w:rPr>
                <w:rFonts w:ascii="Arial" w:hAnsi="Arial" w:cs="Arial"/>
                <w:sz w:val="20"/>
              </w:rPr>
            </w:pPr>
            <w:r w:rsidRPr="00C34F37">
              <w:rPr>
                <w:rFonts w:ascii="Arial" w:hAnsi="Arial" w:cs="Arial"/>
                <w:sz w:val="20"/>
              </w:rPr>
              <w:t>1.760.537</w:t>
            </w:r>
          </w:p>
        </w:tc>
      </w:tr>
    </w:tbl>
    <w:p w14:paraId="34F7F322" w14:textId="77777777" w:rsidR="001A4984" w:rsidRPr="001A4984" w:rsidRDefault="001A4984" w:rsidP="001C3AE7">
      <w:pPr>
        <w:widowControl w:val="0"/>
        <w:shd w:val="clear" w:color="auto" w:fill="F3F3F3"/>
        <w:tabs>
          <w:tab w:val="left" w:pos="567"/>
          <w:tab w:val="left" w:pos="7766"/>
        </w:tabs>
        <w:spacing w:before="120" w:after="120"/>
        <w:jc w:val="both"/>
        <w:rPr>
          <w:rFonts w:ascii="Arial" w:hAnsi="Arial" w:cs="Arial"/>
          <w:b/>
          <w:bCs/>
          <w:snapToGrid w:val="0"/>
          <w:sz w:val="20"/>
          <w:szCs w:val="20"/>
        </w:rPr>
      </w:pPr>
      <w:r w:rsidRPr="001A4984">
        <w:rPr>
          <w:rFonts w:ascii="Arial" w:hAnsi="Arial" w:cs="Arial"/>
          <w:b/>
          <w:bCs/>
          <w:snapToGrid w:val="0"/>
          <w:sz w:val="20"/>
          <w:szCs w:val="20"/>
        </w:rPr>
        <w:t>25. INFORMAZIONI SUI RISCHI ED IMPEGNI ASSUNTI</w:t>
      </w:r>
    </w:p>
    <w:p w14:paraId="2737208B" w14:textId="199F02F8" w:rsidR="00321546" w:rsidRPr="00321546" w:rsidRDefault="00321546" w:rsidP="00321546">
      <w:pPr>
        <w:widowControl w:val="0"/>
        <w:spacing w:before="120"/>
        <w:jc w:val="both"/>
        <w:rPr>
          <w:rFonts w:ascii="Arial" w:hAnsi="Arial" w:cs="Arial"/>
          <w:i/>
          <w:sz w:val="20"/>
        </w:rPr>
      </w:pPr>
      <w:r w:rsidRPr="00321546">
        <w:rPr>
          <w:rFonts w:ascii="Arial" w:hAnsi="Arial" w:cs="Arial"/>
          <w:sz w:val="20"/>
        </w:rPr>
        <w:t xml:space="preserve">ANM S.p.A. possiede valori di beni ex ATAN in uso per 277.134 </w:t>
      </w:r>
      <w:r w:rsidR="00FA68F4">
        <w:rPr>
          <w:rFonts w:ascii="Arial" w:hAnsi="Arial" w:cs="Arial"/>
          <w:i/>
          <w:sz w:val="20"/>
        </w:rPr>
        <w:t>€/000</w:t>
      </w:r>
      <w:r w:rsidRPr="00321546">
        <w:rPr>
          <w:rFonts w:ascii="Arial" w:hAnsi="Arial" w:cs="Arial"/>
          <w:i/>
          <w:sz w:val="20"/>
        </w:rPr>
        <w:t>.</w:t>
      </w:r>
    </w:p>
    <w:p w14:paraId="08E82906" w14:textId="3B85755C" w:rsidR="00321546" w:rsidRPr="00321546" w:rsidRDefault="00321546" w:rsidP="00321546">
      <w:pPr>
        <w:widowControl w:val="0"/>
        <w:spacing w:before="120"/>
        <w:jc w:val="both"/>
        <w:rPr>
          <w:rFonts w:ascii="Arial" w:hAnsi="Arial" w:cs="Arial"/>
          <w:i/>
          <w:sz w:val="20"/>
        </w:rPr>
      </w:pPr>
      <w:r w:rsidRPr="00321546">
        <w:rPr>
          <w:rFonts w:ascii="Arial" w:hAnsi="Arial" w:cs="Arial"/>
          <w:sz w:val="20"/>
        </w:rPr>
        <w:t xml:space="preserve">Tutti i valori del patrimonio ATAN ancora in uso erano iscritti tra i conti d'ordine ed ora esposti tra le informazioni della presente nota. Trattasi del valore certificato nei bilanci della </w:t>
      </w:r>
      <w:r w:rsidR="002C13AA" w:rsidRPr="00321546">
        <w:rPr>
          <w:rFonts w:ascii="Arial" w:hAnsi="Arial" w:cs="Arial"/>
          <w:sz w:val="20"/>
        </w:rPr>
        <w:t>ex Municipalizzata</w:t>
      </w:r>
      <w:r w:rsidRPr="00321546">
        <w:rPr>
          <w:rFonts w:ascii="Arial" w:hAnsi="Arial" w:cs="Arial"/>
          <w:sz w:val="20"/>
        </w:rPr>
        <w:t xml:space="preserve"> al 26/05/1995, e come tale riportato nei bilanci dei successivi esercizi sino ad ora.</w:t>
      </w:r>
      <w:r w:rsidRPr="00321546">
        <w:t xml:space="preserve"> </w:t>
      </w:r>
    </w:p>
    <w:p w14:paraId="713F8ED8" w14:textId="2FD8F35C" w:rsidR="00321546" w:rsidRPr="00321546" w:rsidRDefault="00321546" w:rsidP="00321546">
      <w:pPr>
        <w:widowControl w:val="0"/>
        <w:spacing w:before="120"/>
        <w:jc w:val="both"/>
        <w:rPr>
          <w:rFonts w:ascii="Arial" w:hAnsi="Arial" w:cs="Arial"/>
          <w:sz w:val="20"/>
        </w:rPr>
      </w:pPr>
      <w:r w:rsidRPr="00321546">
        <w:rPr>
          <w:rFonts w:ascii="Arial" w:hAnsi="Arial" w:cs="Arial"/>
          <w:sz w:val="20"/>
        </w:rPr>
        <w:t xml:space="preserve">ANM S.p.A. detiene altresì polizze fideiussorie per un valore di 54.330 </w:t>
      </w:r>
      <w:r w:rsidR="00FA68F4">
        <w:rPr>
          <w:rFonts w:ascii="Arial" w:hAnsi="Arial" w:cs="Arial"/>
          <w:i/>
          <w:sz w:val="20"/>
        </w:rPr>
        <w:t>€/000</w:t>
      </w:r>
      <w:r w:rsidRPr="00321546">
        <w:rPr>
          <w:rFonts w:ascii="Arial" w:hAnsi="Arial" w:cs="Arial"/>
          <w:i/>
          <w:sz w:val="20"/>
        </w:rPr>
        <w:t>,</w:t>
      </w:r>
    </w:p>
    <w:p w14:paraId="7E5DE74C" w14:textId="77777777" w:rsidR="00364B4F" w:rsidRPr="00364B4F" w:rsidRDefault="00364B4F" w:rsidP="001C3AE7">
      <w:pPr>
        <w:widowControl w:val="0"/>
        <w:shd w:val="clear" w:color="auto" w:fill="F3F3F3"/>
        <w:tabs>
          <w:tab w:val="left" w:pos="7766"/>
        </w:tabs>
        <w:spacing w:before="120" w:after="120"/>
        <w:rPr>
          <w:rFonts w:ascii="Arial" w:hAnsi="Arial" w:cs="Arial"/>
          <w:b/>
          <w:bCs/>
          <w:snapToGrid w:val="0"/>
          <w:sz w:val="20"/>
          <w:szCs w:val="20"/>
        </w:rPr>
      </w:pPr>
      <w:r>
        <w:rPr>
          <w:rFonts w:ascii="Arial" w:hAnsi="Arial" w:cs="Arial"/>
          <w:b/>
          <w:bCs/>
          <w:snapToGrid w:val="0"/>
          <w:sz w:val="20"/>
          <w:szCs w:val="20"/>
        </w:rPr>
        <w:lastRenderedPageBreak/>
        <w:t>2</w:t>
      </w:r>
      <w:r w:rsidR="001A4984">
        <w:rPr>
          <w:rFonts w:ascii="Arial" w:hAnsi="Arial" w:cs="Arial"/>
          <w:b/>
          <w:bCs/>
          <w:snapToGrid w:val="0"/>
          <w:sz w:val="20"/>
          <w:szCs w:val="20"/>
        </w:rPr>
        <w:t>6</w:t>
      </w:r>
      <w:r>
        <w:rPr>
          <w:rFonts w:ascii="Arial" w:hAnsi="Arial" w:cs="Arial"/>
          <w:b/>
          <w:bCs/>
          <w:snapToGrid w:val="0"/>
          <w:sz w:val="20"/>
          <w:szCs w:val="20"/>
        </w:rPr>
        <w:t xml:space="preserve"> </w:t>
      </w:r>
      <w:r w:rsidRPr="00364B4F">
        <w:rPr>
          <w:rFonts w:ascii="Arial" w:hAnsi="Arial" w:cs="Arial"/>
          <w:b/>
          <w:bCs/>
          <w:snapToGrid w:val="0"/>
          <w:sz w:val="20"/>
          <w:szCs w:val="20"/>
        </w:rPr>
        <w:t>PROROGA TERMINE PER APPROVAZIONE DEL BILANCIO</w:t>
      </w:r>
    </w:p>
    <w:p w14:paraId="737F3AF4" w14:textId="77777777" w:rsidR="00364B4F" w:rsidRDefault="00364B4F" w:rsidP="001C3AE7">
      <w:pPr>
        <w:widowControl w:val="0"/>
        <w:spacing w:before="120" w:after="120"/>
        <w:jc w:val="both"/>
        <w:rPr>
          <w:rFonts w:ascii="Arial" w:hAnsi="Arial" w:cs="Arial"/>
          <w:snapToGrid w:val="0"/>
          <w:sz w:val="20"/>
          <w:szCs w:val="20"/>
        </w:rPr>
      </w:pPr>
      <w:r w:rsidRPr="005A5596">
        <w:rPr>
          <w:rFonts w:ascii="Arial" w:hAnsi="Arial" w:cs="Arial"/>
          <w:snapToGrid w:val="0"/>
          <w:sz w:val="20"/>
          <w:szCs w:val="20"/>
        </w:rPr>
        <w:t>Il ricorso al maggior termine si è reso inevitabile p</w:t>
      </w:r>
      <w:r w:rsidR="00880649">
        <w:rPr>
          <w:rFonts w:ascii="Arial" w:hAnsi="Arial" w:cs="Arial"/>
          <w:snapToGrid w:val="0"/>
          <w:sz w:val="20"/>
          <w:szCs w:val="20"/>
        </w:rPr>
        <w:t>er la ritardata approvazione del</w:t>
      </w:r>
      <w:r w:rsidRPr="005A5596">
        <w:rPr>
          <w:rFonts w:ascii="Arial" w:hAnsi="Arial" w:cs="Arial"/>
          <w:snapToGrid w:val="0"/>
          <w:sz w:val="20"/>
          <w:szCs w:val="20"/>
        </w:rPr>
        <w:t xml:space="preserve"> bilanci</w:t>
      </w:r>
      <w:r w:rsidR="00880649">
        <w:rPr>
          <w:rFonts w:ascii="Arial" w:hAnsi="Arial" w:cs="Arial"/>
          <w:snapToGrid w:val="0"/>
          <w:sz w:val="20"/>
          <w:szCs w:val="20"/>
        </w:rPr>
        <w:t>o</w:t>
      </w:r>
      <w:r w:rsidRPr="005A5596">
        <w:rPr>
          <w:rFonts w:ascii="Arial" w:hAnsi="Arial" w:cs="Arial"/>
          <w:snapToGrid w:val="0"/>
          <w:sz w:val="20"/>
          <w:szCs w:val="20"/>
        </w:rPr>
        <w:t xml:space="preserve"> alla medesima</w:t>
      </w:r>
      <w:r w:rsidR="0057263A">
        <w:rPr>
          <w:rFonts w:ascii="Arial" w:hAnsi="Arial" w:cs="Arial"/>
          <w:snapToGrid w:val="0"/>
          <w:sz w:val="20"/>
          <w:szCs w:val="20"/>
        </w:rPr>
        <w:t xml:space="preserve"> data della</w:t>
      </w:r>
      <w:r w:rsidR="00880649">
        <w:rPr>
          <w:rFonts w:ascii="Arial" w:hAnsi="Arial" w:cs="Arial"/>
          <w:snapToGrid w:val="0"/>
          <w:sz w:val="20"/>
          <w:szCs w:val="20"/>
        </w:rPr>
        <w:t xml:space="preserve"> società controllata.</w:t>
      </w:r>
    </w:p>
    <w:p w14:paraId="730595A7" w14:textId="77777777" w:rsidR="00EE4AF0" w:rsidRDefault="00B7673D" w:rsidP="001C3AE7">
      <w:pPr>
        <w:widowControl w:val="0"/>
        <w:shd w:val="clear" w:color="auto" w:fill="F3F3F3"/>
        <w:tabs>
          <w:tab w:val="left" w:pos="7766"/>
        </w:tabs>
        <w:spacing w:before="120" w:after="120"/>
        <w:rPr>
          <w:rFonts w:ascii="Arial" w:hAnsi="Arial" w:cs="Arial"/>
          <w:b/>
          <w:bCs/>
          <w:snapToGrid w:val="0"/>
          <w:sz w:val="20"/>
          <w:szCs w:val="20"/>
        </w:rPr>
      </w:pPr>
      <w:r>
        <w:rPr>
          <w:rFonts w:ascii="Arial" w:hAnsi="Arial" w:cs="Arial"/>
          <w:b/>
          <w:bCs/>
          <w:snapToGrid w:val="0"/>
          <w:sz w:val="20"/>
          <w:szCs w:val="20"/>
        </w:rPr>
        <w:t>2</w:t>
      </w:r>
      <w:r w:rsidR="001A4984">
        <w:rPr>
          <w:rFonts w:ascii="Arial" w:hAnsi="Arial" w:cs="Arial"/>
          <w:b/>
          <w:bCs/>
          <w:snapToGrid w:val="0"/>
          <w:sz w:val="20"/>
          <w:szCs w:val="20"/>
        </w:rPr>
        <w:t>7</w:t>
      </w:r>
      <w:r w:rsidR="00535A6E">
        <w:rPr>
          <w:rFonts w:ascii="Arial" w:hAnsi="Arial" w:cs="Arial"/>
          <w:b/>
          <w:bCs/>
          <w:snapToGrid w:val="0"/>
          <w:sz w:val="20"/>
          <w:szCs w:val="20"/>
        </w:rPr>
        <w:t xml:space="preserve"> </w:t>
      </w:r>
      <w:r w:rsidR="00EE4AF0">
        <w:rPr>
          <w:rFonts w:ascii="Arial" w:hAnsi="Arial" w:cs="Arial"/>
          <w:b/>
          <w:bCs/>
          <w:snapToGrid w:val="0"/>
          <w:sz w:val="20"/>
          <w:szCs w:val="20"/>
        </w:rPr>
        <w:t>APPENDICE</w:t>
      </w:r>
    </w:p>
    <w:p w14:paraId="384B20FA" w14:textId="16961DB2" w:rsidR="00EE4AF0" w:rsidRDefault="00EE4AF0" w:rsidP="001C3AE7">
      <w:pPr>
        <w:widowControl w:val="0"/>
        <w:spacing w:before="120" w:after="120"/>
        <w:jc w:val="both"/>
        <w:rPr>
          <w:rFonts w:ascii="Arial" w:hAnsi="Arial" w:cs="Arial"/>
          <w:snapToGrid w:val="0"/>
          <w:sz w:val="20"/>
          <w:szCs w:val="20"/>
        </w:rPr>
      </w:pPr>
      <w:r>
        <w:rPr>
          <w:rFonts w:ascii="Arial" w:hAnsi="Arial" w:cs="Arial"/>
          <w:snapToGrid w:val="0"/>
          <w:sz w:val="20"/>
          <w:szCs w:val="20"/>
        </w:rPr>
        <w:t>Il presente bilancio</w:t>
      </w:r>
      <w:r w:rsidR="00140164">
        <w:rPr>
          <w:rFonts w:ascii="Arial" w:hAnsi="Arial" w:cs="Arial"/>
          <w:snapToGrid w:val="0"/>
          <w:sz w:val="20"/>
          <w:szCs w:val="20"/>
        </w:rPr>
        <w:t xml:space="preserve"> consolidato</w:t>
      </w:r>
      <w:r>
        <w:rPr>
          <w:rFonts w:ascii="Arial" w:hAnsi="Arial" w:cs="Arial"/>
          <w:snapToGrid w:val="0"/>
          <w:sz w:val="20"/>
          <w:szCs w:val="20"/>
        </w:rPr>
        <w:t xml:space="preserve"> composto da Stato patrimoniale, Conto economico, Nota integrativa e </w:t>
      </w:r>
      <w:r w:rsidR="00220186">
        <w:rPr>
          <w:rFonts w:ascii="Arial" w:hAnsi="Arial" w:cs="Arial"/>
          <w:snapToGrid w:val="0"/>
          <w:sz w:val="20"/>
          <w:szCs w:val="20"/>
        </w:rPr>
        <w:t>relazione sulla gestione</w:t>
      </w:r>
      <w:r>
        <w:rPr>
          <w:rFonts w:ascii="Arial" w:hAnsi="Arial" w:cs="Arial"/>
          <w:snapToGrid w:val="0"/>
          <w:sz w:val="20"/>
          <w:szCs w:val="20"/>
        </w:rPr>
        <w:t xml:space="preserve">, rappresenta in modo veritiero e corretto la situazione patrimoniale nonché il risultato economico </w:t>
      </w:r>
      <w:r w:rsidR="00880649">
        <w:rPr>
          <w:rFonts w:ascii="Arial" w:hAnsi="Arial" w:cs="Arial"/>
          <w:snapToGrid w:val="0"/>
          <w:sz w:val="20"/>
          <w:szCs w:val="20"/>
        </w:rPr>
        <w:t>del Gruppo.</w:t>
      </w:r>
    </w:p>
    <w:p w14:paraId="353CF3A8" w14:textId="7981E186" w:rsidR="00D8113D" w:rsidRDefault="00D8113D" w:rsidP="001C3AE7">
      <w:pPr>
        <w:widowControl w:val="0"/>
        <w:spacing w:before="120" w:after="120"/>
        <w:jc w:val="both"/>
        <w:rPr>
          <w:rFonts w:ascii="Arial" w:hAnsi="Arial" w:cs="Arial"/>
          <w:snapToGrid w:val="0"/>
          <w:sz w:val="20"/>
          <w:szCs w:val="20"/>
        </w:rPr>
      </w:pPr>
      <w:r>
        <w:rPr>
          <w:rFonts w:ascii="Arial" w:hAnsi="Arial" w:cs="Arial"/>
          <w:snapToGrid w:val="0"/>
          <w:sz w:val="20"/>
          <w:szCs w:val="20"/>
        </w:rPr>
        <w:t xml:space="preserve">In allegato si </w:t>
      </w:r>
      <w:r w:rsidR="001773D3">
        <w:rPr>
          <w:rFonts w:ascii="Arial" w:hAnsi="Arial" w:cs="Arial"/>
          <w:snapToGrid w:val="0"/>
          <w:sz w:val="20"/>
          <w:szCs w:val="20"/>
        </w:rPr>
        <w:t xml:space="preserve">riportano </w:t>
      </w:r>
      <w:r w:rsidRPr="00D8113D">
        <w:rPr>
          <w:rFonts w:ascii="Arial" w:hAnsi="Arial" w:cs="Arial"/>
          <w:snapToGrid w:val="0"/>
          <w:sz w:val="20"/>
          <w:szCs w:val="20"/>
        </w:rPr>
        <w:t>i prospetti conten</w:t>
      </w:r>
      <w:r w:rsidR="00F13D0B">
        <w:rPr>
          <w:rFonts w:ascii="Arial" w:hAnsi="Arial" w:cs="Arial"/>
          <w:snapToGrid w:val="0"/>
          <w:sz w:val="20"/>
          <w:szCs w:val="20"/>
        </w:rPr>
        <w:t xml:space="preserve">enti </w:t>
      </w:r>
      <w:r w:rsidR="00144360">
        <w:rPr>
          <w:rFonts w:ascii="Arial" w:hAnsi="Arial" w:cs="Arial"/>
          <w:snapToGrid w:val="0"/>
          <w:sz w:val="20"/>
          <w:szCs w:val="20"/>
        </w:rPr>
        <w:t xml:space="preserve">i rapporti intercompany </w:t>
      </w:r>
      <w:r w:rsidR="00F13D0B">
        <w:rPr>
          <w:rFonts w:ascii="Arial" w:hAnsi="Arial" w:cs="Arial"/>
          <w:snapToGrid w:val="0"/>
          <w:sz w:val="20"/>
          <w:szCs w:val="20"/>
        </w:rPr>
        <w:t xml:space="preserve">risultanti dal </w:t>
      </w:r>
      <w:r w:rsidRPr="00D8113D">
        <w:rPr>
          <w:rFonts w:ascii="Arial" w:hAnsi="Arial" w:cs="Arial"/>
          <w:snapToGrid w:val="0"/>
          <w:sz w:val="20"/>
          <w:szCs w:val="20"/>
        </w:rPr>
        <w:t>bilancio</w:t>
      </w:r>
      <w:r w:rsidR="00140164">
        <w:rPr>
          <w:rFonts w:ascii="Arial" w:hAnsi="Arial" w:cs="Arial"/>
          <w:snapToGrid w:val="0"/>
          <w:sz w:val="20"/>
          <w:szCs w:val="20"/>
        </w:rPr>
        <w:t xml:space="preserve"> consolidato</w:t>
      </w:r>
      <w:r w:rsidR="00B7673D">
        <w:rPr>
          <w:rFonts w:ascii="Arial" w:hAnsi="Arial" w:cs="Arial"/>
          <w:snapToGrid w:val="0"/>
          <w:sz w:val="20"/>
          <w:szCs w:val="20"/>
        </w:rPr>
        <w:t xml:space="preserve"> 201</w:t>
      </w:r>
      <w:r w:rsidR="00321546">
        <w:rPr>
          <w:rFonts w:ascii="Arial" w:hAnsi="Arial" w:cs="Arial"/>
          <w:snapToGrid w:val="0"/>
          <w:sz w:val="20"/>
          <w:szCs w:val="20"/>
        </w:rPr>
        <w:t>9</w:t>
      </w:r>
      <w:r w:rsidR="008205BC">
        <w:rPr>
          <w:rFonts w:ascii="Arial" w:hAnsi="Arial" w:cs="Arial"/>
          <w:snapToGrid w:val="0"/>
          <w:sz w:val="20"/>
          <w:szCs w:val="20"/>
        </w:rPr>
        <w:t xml:space="preserve"> </w:t>
      </w:r>
      <w:r w:rsidR="00AE4B16">
        <w:rPr>
          <w:rFonts w:ascii="Arial" w:hAnsi="Arial" w:cs="Arial"/>
          <w:snapToGrid w:val="0"/>
          <w:sz w:val="20"/>
          <w:szCs w:val="20"/>
        </w:rPr>
        <w:t xml:space="preserve">riferiti </w:t>
      </w:r>
      <w:r w:rsidR="00140164">
        <w:rPr>
          <w:rFonts w:ascii="Arial" w:hAnsi="Arial" w:cs="Arial"/>
          <w:snapToGrid w:val="0"/>
          <w:sz w:val="20"/>
          <w:szCs w:val="20"/>
        </w:rPr>
        <w:t>principalmente</w:t>
      </w:r>
      <w:r w:rsidR="00AE4B16">
        <w:rPr>
          <w:rFonts w:ascii="Arial" w:hAnsi="Arial" w:cs="Arial"/>
          <w:snapToGrid w:val="0"/>
          <w:sz w:val="20"/>
          <w:szCs w:val="20"/>
        </w:rPr>
        <w:t xml:space="preserve"> alla </w:t>
      </w:r>
      <w:r w:rsidR="00F13D0B">
        <w:rPr>
          <w:rFonts w:ascii="Arial" w:hAnsi="Arial" w:cs="Arial"/>
          <w:snapToGrid w:val="0"/>
          <w:sz w:val="20"/>
          <w:szCs w:val="20"/>
        </w:rPr>
        <w:t>Controllata ANM.</w:t>
      </w:r>
    </w:p>
    <w:tbl>
      <w:tblPr>
        <w:tblW w:w="8642" w:type="dxa"/>
        <w:tblCellMar>
          <w:left w:w="70" w:type="dxa"/>
          <w:right w:w="70" w:type="dxa"/>
        </w:tblCellMar>
        <w:tblLook w:val="04A0" w:firstRow="1" w:lastRow="0" w:firstColumn="1" w:lastColumn="0" w:noHBand="0" w:noVBand="1"/>
      </w:tblPr>
      <w:tblGrid>
        <w:gridCol w:w="3114"/>
        <w:gridCol w:w="1559"/>
        <w:gridCol w:w="1418"/>
        <w:gridCol w:w="1417"/>
        <w:gridCol w:w="1134"/>
      </w:tblGrid>
      <w:tr w:rsidR="00E260A3" w14:paraId="00A9FA5E" w14:textId="77777777" w:rsidTr="00E260A3">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2DDD8" w14:textId="77777777" w:rsidR="00E260A3" w:rsidRDefault="00E260A3">
            <w:pPr>
              <w:jc w:val="center"/>
              <w:rPr>
                <w:rFonts w:ascii="Calibri" w:hAnsi="Calibri" w:cs="Calibri"/>
                <w:b/>
                <w:bCs/>
                <w:color w:val="000000"/>
                <w:sz w:val="22"/>
                <w:szCs w:val="22"/>
              </w:rPr>
            </w:pPr>
            <w:r>
              <w:rPr>
                <w:rFonts w:ascii="Calibri" w:hAnsi="Calibri" w:cs="Calibri"/>
                <w:b/>
                <w:bCs/>
                <w:color w:val="000000"/>
                <w:sz w:val="22"/>
                <w:szCs w:val="22"/>
              </w:rPr>
              <w:t>Importi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DE57637" w14:textId="77777777" w:rsidR="00E260A3" w:rsidRDefault="00E260A3">
            <w:pPr>
              <w:jc w:val="center"/>
              <w:rPr>
                <w:rFonts w:ascii="Calibri" w:hAnsi="Calibri" w:cs="Calibri"/>
                <w:b/>
                <w:bCs/>
                <w:color w:val="000000"/>
                <w:sz w:val="22"/>
                <w:szCs w:val="22"/>
              </w:rPr>
            </w:pPr>
            <w:r>
              <w:rPr>
                <w:rFonts w:ascii="Calibri" w:hAnsi="Calibri" w:cs="Calibri"/>
                <w:b/>
                <w:bCs/>
                <w:color w:val="000000"/>
                <w:sz w:val="22"/>
                <w:szCs w:val="22"/>
              </w:rPr>
              <w:t>Crediti 2019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6F51882" w14:textId="77777777" w:rsidR="00E260A3" w:rsidRDefault="00E260A3">
            <w:pPr>
              <w:jc w:val="center"/>
              <w:rPr>
                <w:rFonts w:ascii="Calibri" w:hAnsi="Calibri" w:cs="Calibri"/>
                <w:b/>
                <w:bCs/>
                <w:color w:val="000000"/>
                <w:sz w:val="22"/>
                <w:szCs w:val="22"/>
              </w:rPr>
            </w:pPr>
            <w:r>
              <w:rPr>
                <w:rFonts w:ascii="Calibri" w:hAnsi="Calibri" w:cs="Calibri"/>
                <w:b/>
                <w:bCs/>
                <w:color w:val="000000"/>
                <w:sz w:val="22"/>
                <w:szCs w:val="22"/>
              </w:rPr>
              <w:t>Debiti 2019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3BA2F3B" w14:textId="77777777" w:rsidR="00E260A3" w:rsidRDefault="00E260A3">
            <w:pPr>
              <w:jc w:val="center"/>
              <w:rPr>
                <w:rFonts w:ascii="Calibri" w:hAnsi="Calibri" w:cs="Calibri"/>
                <w:b/>
                <w:bCs/>
                <w:color w:val="000000"/>
                <w:sz w:val="22"/>
                <w:szCs w:val="22"/>
              </w:rPr>
            </w:pPr>
            <w:r>
              <w:rPr>
                <w:rFonts w:ascii="Calibri" w:hAnsi="Calibri" w:cs="Calibri"/>
                <w:b/>
                <w:bCs/>
                <w:color w:val="000000"/>
                <w:sz w:val="22"/>
                <w:szCs w:val="22"/>
              </w:rPr>
              <w:t>ricavi 2019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B2DBDF" w14:textId="66FCE561" w:rsidR="00E260A3" w:rsidRDefault="00E260A3">
            <w:pPr>
              <w:jc w:val="center"/>
              <w:rPr>
                <w:rFonts w:ascii="Calibri" w:hAnsi="Calibri" w:cs="Calibri"/>
                <w:b/>
                <w:bCs/>
                <w:color w:val="000000"/>
                <w:sz w:val="22"/>
                <w:szCs w:val="22"/>
              </w:rPr>
            </w:pPr>
            <w:r>
              <w:rPr>
                <w:rFonts w:ascii="Calibri" w:hAnsi="Calibri" w:cs="Calibri"/>
                <w:b/>
                <w:bCs/>
                <w:color w:val="000000"/>
                <w:sz w:val="22"/>
                <w:szCs w:val="22"/>
              </w:rPr>
              <w:t>costi 2019</w:t>
            </w:r>
          </w:p>
        </w:tc>
      </w:tr>
      <w:tr w:rsidR="00E260A3" w14:paraId="4887A0CB"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3F6A179" w14:textId="77777777" w:rsidR="00E260A3" w:rsidRDefault="00E260A3">
            <w:pPr>
              <w:rPr>
                <w:rFonts w:ascii="Calibri" w:hAnsi="Calibri" w:cs="Calibri"/>
                <w:color w:val="000000"/>
                <w:sz w:val="22"/>
                <w:szCs w:val="22"/>
              </w:rPr>
            </w:pPr>
            <w:r>
              <w:rPr>
                <w:rFonts w:ascii="Calibri" w:hAnsi="Calibri" w:cs="Calibri"/>
                <w:color w:val="000000"/>
                <w:sz w:val="22"/>
                <w:szCs w:val="22"/>
              </w:rPr>
              <w:t>Comune di Napoli</w:t>
            </w:r>
          </w:p>
        </w:tc>
        <w:tc>
          <w:tcPr>
            <w:tcW w:w="1559" w:type="dxa"/>
            <w:tcBorders>
              <w:top w:val="nil"/>
              <w:left w:val="nil"/>
              <w:bottom w:val="single" w:sz="4" w:space="0" w:color="auto"/>
              <w:right w:val="single" w:sz="4" w:space="0" w:color="auto"/>
            </w:tcBorders>
            <w:shd w:val="clear" w:color="auto" w:fill="auto"/>
            <w:noWrap/>
            <w:vAlign w:val="center"/>
            <w:hideMark/>
          </w:tcPr>
          <w:p w14:paraId="779D50B5"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126.183</w:t>
            </w:r>
          </w:p>
        </w:tc>
        <w:tc>
          <w:tcPr>
            <w:tcW w:w="1418" w:type="dxa"/>
            <w:tcBorders>
              <w:top w:val="nil"/>
              <w:left w:val="nil"/>
              <w:bottom w:val="single" w:sz="4" w:space="0" w:color="auto"/>
              <w:right w:val="single" w:sz="4" w:space="0" w:color="auto"/>
            </w:tcBorders>
            <w:shd w:val="clear" w:color="auto" w:fill="auto"/>
            <w:noWrap/>
            <w:vAlign w:val="center"/>
            <w:hideMark/>
          </w:tcPr>
          <w:p w14:paraId="692E2C78"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10.469</w:t>
            </w:r>
          </w:p>
        </w:tc>
        <w:tc>
          <w:tcPr>
            <w:tcW w:w="1417" w:type="dxa"/>
            <w:tcBorders>
              <w:top w:val="nil"/>
              <w:left w:val="nil"/>
              <w:bottom w:val="single" w:sz="4" w:space="0" w:color="auto"/>
              <w:right w:val="single" w:sz="4" w:space="0" w:color="auto"/>
            </w:tcBorders>
            <w:shd w:val="clear" w:color="auto" w:fill="auto"/>
            <w:noWrap/>
            <w:vAlign w:val="center"/>
            <w:hideMark/>
          </w:tcPr>
          <w:p w14:paraId="2B6CF1CE"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106.362</w:t>
            </w:r>
          </w:p>
        </w:tc>
        <w:tc>
          <w:tcPr>
            <w:tcW w:w="1134" w:type="dxa"/>
            <w:tcBorders>
              <w:top w:val="nil"/>
              <w:left w:val="nil"/>
              <w:bottom w:val="single" w:sz="4" w:space="0" w:color="auto"/>
              <w:right w:val="single" w:sz="4" w:space="0" w:color="auto"/>
            </w:tcBorders>
            <w:shd w:val="clear" w:color="auto" w:fill="auto"/>
            <w:noWrap/>
            <w:vAlign w:val="center"/>
            <w:hideMark/>
          </w:tcPr>
          <w:p w14:paraId="0D852921"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4.106</w:t>
            </w:r>
          </w:p>
        </w:tc>
      </w:tr>
      <w:tr w:rsidR="00E260A3" w14:paraId="6B8AEBE4"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630625E" w14:textId="77777777" w:rsidR="00E260A3" w:rsidRDefault="00E260A3">
            <w:pPr>
              <w:rPr>
                <w:rFonts w:ascii="Calibri" w:hAnsi="Calibri" w:cs="Calibri"/>
                <w:b/>
                <w:bCs/>
                <w:color w:val="000000"/>
                <w:sz w:val="22"/>
                <w:szCs w:val="22"/>
              </w:rPr>
            </w:pPr>
            <w:r>
              <w:rPr>
                <w:rFonts w:ascii="Calibri" w:hAnsi="Calibri" w:cs="Calibri"/>
                <w:b/>
                <w:bCs/>
                <w:color w:val="000000"/>
                <w:sz w:val="22"/>
                <w:szCs w:val="22"/>
              </w:rPr>
              <w:t>Totale</w:t>
            </w:r>
          </w:p>
        </w:tc>
        <w:tc>
          <w:tcPr>
            <w:tcW w:w="1559" w:type="dxa"/>
            <w:tcBorders>
              <w:top w:val="nil"/>
              <w:left w:val="nil"/>
              <w:bottom w:val="single" w:sz="4" w:space="0" w:color="auto"/>
              <w:right w:val="single" w:sz="4" w:space="0" w:color="auto"/>
            </w:tcBorders>
            <w:shd w:val="clear" w:color="auto" w:fill="auto"/>
            <w:noWrap/>
            <w:vAlign w:val="center"/>
            <w:hideMark/>
          </w:tcPr>
          <w:p w14:paraId="593A62B9"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126.183</w:t>
            </w:r>
          </w:p>
        </w:tc>
        <w:tc>
          <w:tcPr>
            <w:tcW w:w="1418" w:type="dxa"/>
            <w:tcBorders>
              <w:top w:val="nil"/>
              <w:left w:val="nil"/>
              <w:bottom w:val="single" w:sz="4" w:space="0" w:color="auto"/>
              <w:right w:val="single" w:sz="4" w:space="0" w:color="auto"/>
            </w:tcBorders>
            <w:shd w:val="clear" w:color="auto" w:fill="auto"/>
            <w:noWrap/>
            <w:vAlign w:val="center"/>
            <w:hideMark/>
          </w:tcPr>
          <w:p w14:paraId="2FEA445A"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10.469</w:t>
            </w:r>
          </w:p>
        </w:tc>
        <w:tc>
          <w:tcPr>
            <w:tcW w:w="1417" w:type="dxa"/>
            <w:tcBorders>
              <w:top w:val="nil"/>
              <w:left w:val="nil"/>
              <w:bottom w:val="single" w:sz="4" w:space="0" w:color="auto"/>
              <w:right w:val="single" w:sz="4" w:space="0" w:color="auto"/>
            </w:tcBorders>
            <w:shd w:val="clear" w:color="auto" w:fill="auto"/>
            <w:noWrap/>
            <w:vAlign w:val="center"/>
            <w:hideMark/>
          </w:tcPr>
          <w:p w14:paraId="494CEED0"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106.362</w:t>
            </w:r>
          </w:p>
        </w:tc>
        <w:tc>
          <w:tcPr>
            <w:tcW w:w="1134" w:type="dxa"/>
            <w:tcBorders>
              <w:top w:val="nil"/>
              <w:left w:val="nil"/>
              <w:bottom w:val="single" w:sz="4" w:space="0" w:color="auto"/>
              <w:right w:val="single" w:sz="4" w:space="0" w:color="auto"/>
            </w:tcBorders>
            <w:shd w:val="clear" w:color="auto" w:fill="auto"/>
            <w:noWrap/>
            <w:vAlign w:val="center"/>
            <w:hideMark/>
          </w:tcPr>
          <w:p w14:paraId="27726B4B"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4.106</w:t>
            </w:r>
          </w:p>
        </w:tc>
      </w:tr>
      <w:tr w:rsidR="00E260A3" w14:paraId="20008A21" w14:textId="77777777" w:rsidTr="00E260A3">
        <w:trPr>
          <w:trHeight w:val="255"/>
        </w:trPr>
        <w:tc>
          <w:tcPr>
            <w:tcW w:w="3114" w:type="dxa"/>
            <w:tcBorders>
              <w:top w:val="nil"/>
              <w:left w:val="nil"/>
              <w:bottom w:val="nil"/>
              <w:right w:val="nil"/>
            </w:tcBorders>
            <w:shd w:val="clear" w:color="auto" w:fill="auto"/>
            <w:noWrap/>
            <w:vAlign w:val="bottom"/>
            <w:hideMark/>
          </w:tcPr>
          <w:p w14:paraId="4B888D41" w14:textId="77777777" w:rsidR="00E260A3" w:rsidRDefault="00E260A3">
            <w:pPr>
              <w:jc w:val="right"/>
              <w:rPr>
                <w:rFonts w:ascii="Calibri" w:hAnsi="Calibri" w:cs="Calibri"/>
                <w:b/>
                <w:bCs/>
                <w:color w:val="000000"/>
                <w:sz w:val="22"/>
                <w:szCs w:val="22"/>
              </w:rPr>
            </w:pPr>
          </w:p>
        </w:tc>
        <w:tc>
          <w:tcPr>
            <w:tcW w:w="1559" w:type="dxa"/>
            <w:tcBorders>
              <w:top w:val="nil"/>
              <w:left w:val="nil"/>
              <w:bottom w:val="nil"/>
              <w:right w:val="nil"/>
            </w:tcBorders>
            <w:shd w:val="clear" w:color="auto" w:fill="auto"/>
            <w:noWrap/>
            <w:vAlign w:val="bottom"/>
            <w:hideMark/>
          </w:tcPr>
          <w:p w14:paraId="509FC12B" w14:textId="77777777" w:rsidR="00E260A3" w:rsidRDefault="00E260A3">
            <w:pPr>
              <w:rPr>
                <w:sz w:val="20"/>
                <w:szCs w:val="20"/>
              </w:rPr>
            </w:pPr>
          </w:p>
        </w:tc>
        <w:tc>
          <w:tcPr>
            <w:tcW w:w="1418" w:type="dxa"/>
            <w:tcBorders>
              <w:top w:val="nil"/>
              <w:left w:val="nil"/>
              <w:bottom w:val="nil"/>
              <w:right w:val="nil"/>
            </w:tcBorders>
            <w:shd w:val="clear" w:color="auto" w:fill="auto"/>
            <w:noWrap/>
            <w:vAlign w:val="bottom"/>
            <w:hideMark/>
          </w:tcPr>
          <w:p w14:paraId="1BC25E33" w14:textId="77777777" w:rsidR="00E260A3" w:rsidRDefault="00E260A3">
            <w:pPr>
              <w:rPr>
                <w:sz w:val="20"/>
                <w:szCs w:val="20"/>
              </w:rPr>
            </w:pPr>
          </w:p>
        </w:tc>
        <w:tc>
          <w:tcPr>
            <w:tcW w:w="1417" w:type="dxa"/>
            <w:tcBorders>
              <w:top w:val="nil"/>
              <w:left w:val="nil"/>
              <w:bottom w:val="nil"/>
              <w:right w:val="nil"/>
            </w:tcBorders>
            <w:shd w:val="clear" w:color="auto" w:fill="auto"/>
            <w:noWrap/>
            <w:vAlign w:val="bottom"/>
            <w:hideMark/>
          </w:tcPr>
          <w:p w14:paraId="0AA47A43" w14:textId="77777777" w:rsidR="00E260A3" w:rsidRDefault="00E260A3">
            <w:pPr>
              <w:rPr>
                <w:sz w:val="20"/>
                <w:szCs w:val="20"/>
              </w:rPr>
            </w:pPr>
          </w:p>
        </w:tc>
        <w:tc>
          <w:tcPr>
            <w:tcW w:w="1134" w:type="dxa"/>
            <w:tcBorders>
              <w:top w:val="nil"/>
              <w:left w:val="nil"/>
              <w:bottom w:val="nil"/>
              <w:right w:val="nil"/>
            </w:tcBorders>
            <w:shd w:val="clear" w:color="auto" w:fill="auto"/>
            <w:noWrap/>
            <w:vAlign w:val="bottom"/>
            <w:hideMark/>
          </w:tcPr>
          <w:p w14:paraId="62F30480" w14:textId="77777777" w:rsidR="00E260A3" w:rsidRDefault="00E260A3">
            <w:pPr>
              <w:rPr>
                <w:sz w:val="20"/>
                <w:szCs w:val="20"/>
              </w:rPr>
            </w:pPr>
          </w:p>
        </w:tc>
      </w:tr>
      <w:tr w:rsidR="00E260A3" w14:paraId="1502F92A" w14:textId="77777777" w:rsidTr="00E260A3">
        <w:trPr>
          <w:trHeight w:val="300"/>
        </w:trPr>
        <w:tc>
          <w:tcPr>
            <w:tcW w:w="3114" w:type="dxa"/>
            <w:tcBorders>
              <w:top w:val="nil"/>
              <w:left w:val="nil"/>
              <w:bottom w:val="nil"/>
              <w:right w:val="nil"/>
            </w:tcBorders>
            <w:shd w:val="clear" w:color="auto" w:fill="auto"/>
            <w:noWrap/>
            <w:vAlign w:val="center"/>
            <w:hideMark/>
          </w:tcPr>
          <w:p w14:paraId="4FBFCF7B" w14:textId="77777777" w:rsidR="00E260A3" w:rsidRDefault="00E260A3">
            <w:pPr>
              <w:rPr>
                <w:rFonts w:ascii="Calibri" w:hAnsi="Calibri" w:cs="Calibri"/>
                <w:b/>
                <w:bCs/>
                <w:color w:val="000000"/>
                <w:sz w:val="22"/>
                <w:szCs w:val="22"/>
              </w:rPr>
            </w:pPr>
            <w:r>
              <w:rPr>
                <w:rFonts w:ascii="Calibri" w:hAnsi="Calibri" w:cs="Calibri"/>
                <w:b/>
                <w:bCs/>
                <w:color w:val="000000"/>
                <w:sz w:val="22"/>
                <w:szCs w:val="22"/>
              </w:rPr>
              <w:t>Collegate</w:t>
            </w:r>
          </w:p>
        </w:tc>
        <w:tc>
          <w:tcPr>
            <w:tcW w:w="1559" w:type="dxa"/>
            <w:tcBorders>
              <w:top w:val="nil"/>
              <w:left w:val="nil"/>
              <w:bottom w:val="nil"/>
              <w:right w:val="nil"/>
            </w:tcBorders>
            <w:shd w:val="clear" w:color="auto" w:fill="auto"/>
            <w:noWrap/>
            <w:vAlign w:val="bottom"/>
            <w:hideMark/>
          </w:tcPr>
          <w:p w14:paraId="0C878411" w14:textId="77777777" w:rsidR="00E260A3" w:rsidRDefault="00E260A3">
            <w:pPr>
              <w:rPr>
                <w:rFonts w:ascii="Calibri" w:hAnsi="Calibri" w:cs="Calibri"/>
                <w:b/>
                <w:bCs/>
                <w:color w:val="000000"/>
                <w:sz w:val="22"/>
                <w:szCs w:val="22"/>
              </w:rPr>
            </w:pPr>
          </w:p>
        </w:tc>
        <w:tc>
          <w:tcPr>
            <w:tcW w:w="1418" w:type="dxa"/>
            <w:tcBorders>
              <w:top w:val="nil"/>
              <w:left w:val="nil"/>
              <w:bottom w:val="nil"/>
              <w:right w:val="nil"/>
            </w:tcBorders>
            <w:shd w:val="clear" w:color="auto" w:fill="auto"/>
            <w:noWrap/>
            <w:vAlign w:val="bottom"/>
            <w:hideMark/>
          </w:tcPr>
          <w:p w14:paraId="45E2469C" w14:textId="77777777" w:rsidR="00E260A3" w:rsidRDefault="00E260A3">
            <w:pPr>
              <w:rPr>
                <w:sz w:val="20"/>
                <w:szCs w:val="20"/>
              </w:rPr>
            </w:pPr>
          </w:p>
        </w:tc>
        <w:tc>
          <w:tcPr>
            <w:tcW w:w="1417" w:type="dxa"/>
            <w:tcBorders>
              <w:top w:val="nil"/>
              <w:left w:val="nil"/>
              <w:bottom w:val="nil"/>
              <w:right w:val="nil"/>
            </w:tcBorders>
            <w:shd w:val="clear" w:color="auto" w:fill="auto"/>
            <w:noWrap/>
            <w:vAlign w:val="bottom"/>
            <w:hideMark/>
          </w:tcPr>
          <w:p w14:paraId="14BB9EA0" w14:textId="77777777" w:rsidR="00E260A3" w:rsidRDefault="00E260A3">
            <w:pPr>
              <w:rPr>
                <w:sz w:val="20"/>
                <w:szCs w:val="20"/>
              </w:rPr>
            </w:pPr>
          </w:p>
        </w:tc>
        <w:tc>
          <w:tcPr>
            <w:tcW w:w="1134" w:type="dxa"/>
            <w:tcBorders>
              <w:top w:val="nil"/>
              <w:left w:val="nil"/>
              <w:bottom w:val="nil"/>
              <w:right w:val="nil"/>
            </w:tcBorders>
            <w:shd w:val="clear" w:color="auto" w:fill="auto"/>
            <w:noWrap/>
            <w:vAlign w:val="bottom"/>
            <w:hideMark/>
          </w:tcPr>
          <w:p w14:paraId="7CC10C54" w14:textId="77777777" w:rsidR="00E260A3" w:rsidRDefault="00E260A3">
            <w:pPr>
              <w:rPr>
                <w:sz w:val="20"/>
                <w:szCs w:val="20"/>
              </w:rPr>
            </w:pPr>
          </w:p>
        </w:tc>
      </w:tr>
      <w:tr w:rsidR="00E260A3" w14:paraId="79490C67" w14:textId="77777777" w:rsidTr="00E260A3">
        <w:trPr>
          <w:trHeight w:val="255"/>
        </w:trPr>
        <w:tc>
          <w:tcPr>
            <w:tcW w:w="3114" w:type="dxa"/>
            <w:tcBorders>
              <w:top w:val="nil"/>
              <w:left w:val="nil"/>
              <w:bottom w:val="nil"/>
              <w:right w:val="nil"/>
            </w:tcBorders>
            <w:shd w:val="clear" w:color="auto" w:fill="auto"/>
            <w:noWrap/>
            <w:vAlign w:val="bottom"/>
            <w:hideMark/>
          </w:tcPr>
          <w:p w14:paraId="2E1D8378" w14:textId="77777777" w:rsidR="00E260A3" w:rsidRDefault="00E260A3">
            <w:pPr>
              <w:rPr>
                <w:sz w:val="20"/>
                <w:szCs w:val="20"/>
              </w:rPr>
            </w:pPr>
          </w:p>
        </w:tc>
        <w:tc>
          <w:tcPr>
            <w:tcW w:w="1559" w:type="dxa"/>
            <w:tcBorders>
              <w:top w:val="nil"/>
              <w:left w:val="nil"/>
              <w:bottom w:val="nil"/>
              <w:right w:val="nil"/>
            </w:tcBorders>
            <w:shd w:val="clear" w:color="auto" w:fill="auto"/>
            <w:noWrap/>
            <w:vAlign w:val="bottom"/>
            <w:hideMark/>
          </w:tcPr>
          <w:p w14:paraId="3D4969D0" w14:textId="77777777" w:rsidR="00E260A3" w:rsidRDefault="00E260A3">
            <w:pPr>
              <w:rPr>
                <w:sz w:val="20"/>
                <w:szCs w:val="20"/>
              </w:rPr>
            </w:pPr>
          </w:p>
        </w:tc>
        <w:tc>
          <w:tcPr>
            <w:tcW w:w="1418" w:type="dxa"/>
            <w:tcBorders>
              <w:top w:val="nil"/>
              <w:left w:val="nil"/>
              <w:bottom w:val="nil"/>
              <w:right w:val="nil"/>
            </w:tcBorders>
            <w:shd w:val="clear" w:color="auto" w:fill="auto"/>
            <w:noWrap/>
            <w:vAlign w:val="bottom"/>
            <w:hideMark/>
          </w:tcPr>
          <w:p w14:paraId="446D1486" w14:textId="77777777" w:rsidR="00E260A3" w:rsidRDefault="00E260A3">
            <w:pPr>
              <w:rPr>
                <w:sz w:val="20"/>
                <w:szCs w:val="20"/>
              </w:rPr>
            </w:pPr>
          </w:p>
        </w:tc>
        <w:tc>
          <w:tcPr>
            <w:tcW w:w="1417" w:type="dxa"/>
            <w:tcBorders>
              <w:top w:val="nil"/>
              <w:left w:val="nil"/>
              <w:bottom w:val="nil"/>
              <w:right w:val="nil"/>
            </w:tcBorders>
            <w:shd w:val="clear" w:color="auto" w:fill="auto"/>
            <w:noWrap/>
            <w:vAlign w:val="bottom"/>
            <w:hideMark/>
          </w:tcPr>
          <w:p w14:paraId="27B928DB" w14:textId="77777777" w:rsidR="00E260A3" w:rsidRDefault="00E260A3">
            <w:pPr>
              <w:rPr>
                <w:sz w:val="20"/>
                <w:szCs w:val="20"/>
              </w:rPr>
            </w:pPr>
          </w:p>
        </w:tc>
        <w:tc>
          <w:tcPr>
            <w:tcW w:w="1134" w:type="dxa"/>
            <w:tcBorders>
              <w:top w:val="nil"/>
              <w:left w:val="nil"/>
              <w:bottom w:val="nil"/>
              <w:right w:val="nil"/>
            </w:tcBorders>
            <w:shd w:val="clear" w:color="auto" w:fill="auto"/>
            <w:noWrap/>
            <w:vAlign w:val="bottom"/>
            <w:hideMark/>
          </w:tcPr>
          <w:p w14:paraId="05611AAD" w14:textId="77777777" w:rsidR="00E260A3" w:rsidRDefault="00E260A3">
            <w:pPr>
              <w:rPr>
                <w:sz w:val="20"/>
                <w:szCs w:val="20"/>
              </w:rPr>
            </w:pPr>
          </w:p>
        </w:tc>
      </w:tr>
      <w:tr w:rsidR="00E260A3" w14:paraId="55A2C9F3" w14:textId="77777777" w:rsidTr="00E260A3">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B60C" w14:textId="77777777" w:rsidR="00E260A3" w:rsidRDefault="00E260A3">
            <w:pPr>
              <w:jc w:val="center"/>
              <w:rPr>
                <w:rFonts w:ascii="Calibri" w:hAnsi="Calibri" w:cs="Calibri"/>
                <w:b/>
                <w:bCs/>
                <w:color w:val="000000"/>
                <w:sz w:val="22"/>
                <w:szCs w:val="22"/>
              </w:rPr>
            </w:pPr>
            <w:r>
              <w:rPr>
                <w:rFonts w:ascii="Calibri" w:hAnsi="Calibri" w:cs="Calibri"/>
                <w:b/>
                <w:bCs/>
                <w:color w:val="000000"/>
                <w:sz w:val="22"/>
                <w:szCs w:val="22"/>
              </w:rPr>
              <w:t>Importi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5ED89C1"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Crediti 2019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4CA8F13"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Debiti 2019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9DFB434"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ricavi 2019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1102BD" w14:textId="7042DB0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costi 2019</w:t>
            </w:r>
          </w:p>
        </w:tc>
      </w:tr>
      <w:tr w:rsidR="00E260A3" w14:paraId="76A18FE5"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12A5F71" w14:textId="77777777" w:rsidR="00E260A3" w:rsidRDefault="00E260A3">
            <w:pPr>
              <w:rPr>
                <w:rFonts w:ascii="Calibri" w:hAnsi="Calibri" w:cs="Calibri"/>
                <w:color w:val="000000"/>
                <w:sz w:val="22"/>
                <w:szCs w:val="22"/>
              </w:rPr>
            </w:pPr>
            <w:r>
              <w:rPr>
                <w:rFonts w:ascii="Calibri" w:hAnsi="Calibri" w:cs="Calibri"/>
                <w:color w:val="000000"/>
                <w:sz w:val="22"/>
                <w:szCs w:val="22"/>
              </w:rPr>
              <w:t>Consorzio</w:t>
            </w:r>
          </w:p>
        </w:tc>
        <w:tc>
          <w:tcPr>
            <w:tcW w:w="1559" w:type="dxa"/>
            <w:tcBorders>
              <w:top w:val="nil"/>
              <w:left w:val="nil"/>
              <w:bottom w:val="single" w:sz="4" w:space="0" w:color="auto"/>
              <w:right w:val="single" w:sz="4" w:space="0" w:color="auto"/>
            </w:tcBorders>
            <w:shd w:val="clear" w:color="auto" w:fill="auto"/>
            <w:noWrap/>
            <w:vAlign w:val="center"/>
            <w:hideMark/>
          </w:tcPr>
          <w:p w14:paraId="319C6F08"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8.945</w:t>
            </w:r>
          </w:p>
        </w:tc>
        <w:tc>
          <w:tcPr>
            <w:tcW w:w="1418" w:type="dxa"/>
            <w:tcBorders>
              <w:top w:val="nil"/>
              <w:left w:val="nil"/>
              <w:bottom w:val="single" w:sz="4" w:space="0" w:color="auto"/>
              <w:right w:val="single" w:sz="4" w:space="0" w:color="auto"/>
            </w:tcBorders>
            <w:shd w:val="clear" w:color="auto" w:fill="auto"/>
            <w:noWrap/>
            <w:vAlign w:val="center"/>
            <w:hideMark/>
          </w:tcPr>
          <w:p w14:paraId="595C5ED8"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675</w:t>
            </w:r>
          </w:p>
        </w:tc>
        <w:tc>
          <w:tcPr>
            <w:tcW w:w="1417" w:type="dxa"/>
            <w:tcBorders>
              <w:top w:val="nil"/>
              <w:left w:val="nil"/>
              <w:bottom w:val="single" w:sz="4" w:space="0" w:color="auto"/>
              <w:right w:val="single" w:sz="4" w:space="0" w:color="auto"/>
            </w:tcBorders>
            <w:shd w:val="clear" w:color="auto" w:fill="auto"/>
            <w:noWrap/>
            <w:vAlign w:val="center"/>
            <w:hideMark/>
          </w:tcPr>
          <w:p w14:paraId="47AF759C"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42.286</w:t>
            </w:r>
          </w:p>
        </w:tc>
        <w:tc>
          <w:tcPr>
            <w:tcW w:w="1134" w:type="dxa"/>
            <w:tcBorders>
              <w:top w:val="nil"/>
              <w:left w:val="nil"/>
              <w:bottom w:val="single" w:sz="4" w:space="0" w:color="auto"/>
              <w:right w:val="single" w:sz="4" w:space="0" w:color="auto"/>
            </w:tcBorders>
            <w:shd w:val="clear" w:color="auto" w:fill="auto"/>
            <w:noWrap/>
            <w:vAlign w:val="center"/>
            <w:hideMark/>
          </w:tcPr>
          <w:p w14:paraId="313FC627"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3.930</w:t>
            </w:r>
          </w:p>
        </w:tc>
      </w:tr>
      <w:tr w:rsidR="00E260A3" w14:paraId="74DABE99"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F1A3A34" w14:textId="77777777" w:rsidR="00E260A3" w:rsidRDefault="00E260A3">
            <w:pPr>
              <w:rPr>
                <w:rFonts w:ascii="Calibri" w:hAnsi="Calibri" w:cs="Calibri"/>
                <w:b/>
                <w:bCs/>
                <w:color w:val="000000"/>
                <w:sz w:val="22"/>
                <w:szCs w:val="22"/>
              </w:rPr>
            </w:pPr>
            <w:r>
              <w:rPr>
                <w:rFonts w:ascii="Calibri" w:hAnsi="Calibri" w:cs="Calibri"/>
                <w:b/>
                <w:bCs/>
                <w:color w:val="000000"/>
                <w:sz w:val="22"/>
                <w:szCs w:val="22"/>
              </w:rPr>
              <w:t>Totale</w:t>
            </w:r>
          </w:p>
        </w:tc>
        <w:tc>
          <w:tcPr>
            <w:tcW w:w="1559" w:type="dxa"/>
            <w:tcBorders>
              <w:top w:val="nil"/>
              <w:left w:val="nil"/>
              <w:bottom w:val="single" w:sz="4" w:space="0" w:color="auto"/>
              <w:right w:val="single" w:sz="4" w:space="0" w:color="auto"/>
            </w:tcBorders>
            <w:shd w:val="clear" w:color="auto" w:fill="auto"/>
            <w:noWrap/>
            <w:vAlign w:val="center"/>
            <w:hideMark/>
          </w:tcPr>
          <w:p w14:paraId="1C37BA07"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8.945</w:t>
            </w:r>
          </w:p>
        </w:tc>
        <w:tc>
          <w:tcPr>
            <w:tcW w:w="1418" w:type="dxa"/>
            <w:tcBorders>
              <w:top w:val="nil"/>
              <w:left w:val="nil"/>
              <w:bottom w:val="single" w:sz="4" w:space="0" w:color="auto"/>
              <w:right w:val="single" w:sz="4" w:space="0" w:color="auto"/>
            </w:tcBorders>
            <w:shd w:val="clear" w:color="auto" w:fill="auto"/>
            <w:noWrap/>
            <w:vAlign w:val="center"/>
            <w:hideMark/>
          </w:tcPr>
          <w:p w14:paraId="20E86FEB"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675</w:t>
            </w:r>
          </w:p>
        </w:tc>
        <w:tc>
          <w:tcPr>
            <w:tcW w:w="1417" w:type="dxa"/>
            <w:tcBorders>
              <w:top w:val="nil"/>
              <w:left w:val="nil"/>
              <w:bottom w:val="single" w:sz="4" w:space="0" w:color="auto"/>
              <w:right w:val="single" w:sz="4" w:space="0" w:color="auto"/>
            </w:tcBorders>
            <w:shd w:val="clear" w:color="auto" w:fill="auto"/>
            <w:noWrap/>
            <w:vAlign w:val="center"/>
            <w:hideMark/>
          </w:tcPr>
          <w:p w14:paraId="101A47E4"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42.286</w:t>
            </w:r>
          </w:p>
        </w:tc>
        <w:tc>
          <w:tcPr>
            <w:tcW w:w="1134" w:type="dxa"/>
            <w:tcBorders>
              <w:top w:val="nil"/>
              <w:left w:val="nil"/>
              <w:bottom w:val="single" w:sz="4" w:space="0" w:color="auto"/>
              <w:right w:val="single" w:sz="4" w:space="0" w:color="auto"/>
            </w:tcBorders>
            <w:shd w:val="clear" w:color="auto" w:fill="auto"/>
            <w:noWrap/>
            <w:vAlign w:val="center"/>
            <w:hideMark/>
          </w:tcPr>
          <w:p w14:paraId="5B44AE2C"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3.930</w:t>
            </w:r>
          </w:p>
        </w:tc>
      </w:tr>
      <w:tr w:rsidR="00E260A3" w14:paraId="480DB98B" w14:textId="77777777" w:rsidTr="00E260A3">
        <w:trPr>
          <w:trHeight w:val="255"/>
        </w:trPr>
        <w:tc>
          <w:tcPr>
            <w:tcW w:w="3114" w:type="dxa"/>
            <w:tcBorders>
              <w:top w:val="nil"/>
              <w:left w:val="nil"/>
              <w:bottom w:val="nil"/>
              <w:right w:val="nil"/>
            </w:tcBorders>
            <w:shd w:val="clear" w:color="auto" w:fill="auto"/>
            <w:noWrap/>
            <w:vAlign w:val="bottom"/>
            <w:hideMark/>
          </w:tcPr>
          <w:p w14:paraId="06CEF403" w14:textId="77777777" w:rsidR="00E260A3" w:rsidRDefault="00E260A3">
            <w:pPr>
              <w:jc w:val="right"/>
              <w:rPr>
                <w:rFonts w:ascii="Calibri" w:hAnsi="Calibri" w:cs="Calibri"/>
                <w:b/>
                <w:bCs/>
                <w:color w:val="000000"/>
                <w:sz w:val="22"/>
                <w:szCs w:val="22"/>
              </w:rPr>
            </w:pPr>
          </w:p>
        </w:tc>
        <w:tc>
          <w:tcPr>
            <w:tcW w:w="1559" w:type="dxa"/>
            <w:tcBorders>
              <w:top w:val="nil"/>
              <w:left w:val="nil"/>
              <w:bottom w:val="nil"/>
              <w:right w:val="nil"/>
            </w:tcBorders>
            <w:shd w:val="clear" w:color="auto" w:fill="auto"/>
            <w:noWrap/>
            <w:vAlign w:val="bottom"/>
            <w:hideMark/>
          </w:tcPr>
          <w:p w14:paraId="4C73D774" w14:textId="77777777" w:rsidR="00E260A3" w:rsidRDefault="00E260A3">
            <w:pPr>
              <w:rPr>
                <w:sz w:val="20"/>
                <w:szCs w:val="20"/>
              </w:rPr>
            </w:pPr>
          </w:p>
        </w:tc>
        <w:tc>
          <w:tcPr>
            <w:tcW w:w="1418" w:type="dxa"/>
            <w:tcBorders>
              <w:top w:val="nil"/>
              <w:left w:val="nil"/>
              <w:bottom w:val="nil"/>
              <w:right w:val="nil"/>
            </w:tcBorders>
            <w:shd w:val="clear" w:color="auto" w:fill="auto"/>
            <w:noWrap/>
            <w:vAlign w:val="bottom"/>
            <w:hideMark/>
          </w:tcPr>
          <w:p w14:paraId="131D581B" w14:textId="77777777" w:rsidR="00E260A3" w:rsidRDefault="00E260A3">
            <w:pPr>
              <w:rPr>
                <w:sz w:val="20"/>
                <w:szCs w:val="20"/>
              </w:rPr>
            </w:pPr>
          </w:p>
        </w:tc>
        <w:tc>
          <w:tcPr>
            <w:tcW w:w="1417" w:type="dxa"/>
            <w:tcBorders>
              <w:top w:val="nil"/>
              <w:left w:val="nil"/>
              <w:bottom w:val="nil"/>
              <w:right w:val="nil"/>
            </w:tcBorders>
            <w:shd w:val="clear" w:color="auto" w:fill="auto"/>
            <w:noWrap/>
            <w:vAlign w:val="bottom"/>
            <w:hideMark/>
          </w:tcPr>
          <w:p w14:paraId="67C9CAEA" w14:textId="77777777" w:rsidR="00E260A3" w:rsidRDefault="00E260A3">
            <w:pPr>
              <w:rPr>
                <w:sz w:val="20"/>
                <w:szCs w:val="20"/>
              </w:rPr>
            </w:pPr>
          </w:p>
        </w:tc>
        <w:tc>
          <w:tcPr>
            <w:tcW w:w="1134" w:type="dxa"/>
            <w:tcBorders>
              <w:top w:val="nil"/>
              <w:left w:val="nil"/>
              <w:bottom w:val="nil"/>
              <w:right w:val="nil"/>
            </w:tcBorders>
            <w:shd w:val="clear" w:color="auto" w:fill="auto"/>
            <w:noWrap/>
            <w:vAlign w:val="bottom"/>
            <w:hideMark/>
          </w:tcPr>
          <w:p w14:paraId="437A5B4F" w14:textId="77777777" w:rsidR="00E260A3" w:rsidRDefault="00E260A3">
            <w:pPr>
              <w:rPr>
                <w:sz w:val="20"/>
                <w:szCs w:val="20"/>
              </w:rPr>
            </w:pPr>
          </w:p>
        </w:tc>
      </w:tr>
      <w:tr w:rsidR="00E260A3" w14:paraId="4496B73F" w14:textId="77777777" w:rsidTr="00E260A3">
        <w:trPr>
          <w:trHeight w:val="300"/>
        </w:trPr>
        <w:tc>
          <w:tcPr>
            <w:tcW w:w="4673" w:type="dxa"/>
            <w:gridSpan w:val="2"/>
            <w:tcBorders>
              <w:top w:val="nil"/>
              <w:left w:val="nil"/>
              <w:bottom w:val="nil"/>
              <w:right w:val="nil"/>
            </w:tcBorders>
            <w:shd w:val="clear" w:color="auto" w:fill="auto"/>
            <w:noWrap/>
            <w:vAlign w:val="center"/>
            <w:hideMark/>
          </w:tcPr>
          <w:p w14:paraId="5193ED26" w14:textId="77777777" w:rsidR="00E260A3" w:rsidRDefault="00E260A3">
            <w:pPr>
              <w:rPr>
                <w:rFonts w:ascii="Calibri" w:hAnsi="Calibri" w:cs="Calibri"/>
                <w:b/>
                <w:bCs/>
                <w:color w:val="000000"/>
                <w:sz w:val="22"/>
                <w:szCs w:val="22"/>
              </w:rPr>
            </w:pPr>
            <w:r>
              <w:rPr>
                <w:rFonts w:ascii="Calibri" w:hAnsi="Calibri" w:cs="Calibri"/>
                <w:b/>
                <w:bCs/>
                <w:color w:val="000000"/>
                <w:sz w:val="22"/>
                <w:szCs w:val="22"/>
              </w:rPr>
              <w:t>Società controllate dalle Controllanti</w:t>
            </w:r>
          </w:p>
        </w:tc>
        <w:tc>
          <w:tcPr>
            <w:tcW w:w="1418" w:type="dxa"/>
            <w:tcBorders>
              <w:top w:val="nil"/>
              <w:left w:val="nil"/>
              <w:bottom w:val="nil"/>
              <w:right w:val="nil"/>
            </w:tcBorders>
            <w:shd w:val="clear" w:color="auto" w:fill="auto"/>
            <w:noWrap/>
            <w:vAlign w:val="bottom"/>
            <w:hideMark/>
          </w:tcPr>
          <w:p w14:paraId="32FDBAF9" w14:textId="77777777" w:rsidR="00E260A3" w:rsidRDefault="00E260A3">
            <w:pPr>
              <w:rPr>
                <w:rFonts w:ascii="Calibri" w:hAnsi="Calibri" w:cs="Calibri"/>
                <w:b/>
                <w:bCs/>
                <w:color w:val="000000"/>
                <w:sz w:val="22"/>
                <w:szCs w:val="22"/>
              </w:rPr>
            </w:pPr>
          </w:p>
        </w:tc>
        <w:tc>
          <w:tcPr>
            <w:tcW w:w="1417" w:type="dxa"/>
            <w:tcBorders>
              <w:top w:val="nil"/>
              <w:left w:val="nil"/>
              <w:bottom w:val="nil"/>
              <w:right w:val="nil"/>
            </w:tcBorders>
            <w:shd w:val="clear" w:color="auto" w:fill="auto"/>
            <w:noWrap/>
            <w:vAlign w:val="bottom"/>
            <w:hideMark/>
          </w:tcPr>
          <w:p w14:paraId="4AFAB913" w14:textId="77777777" w:rsidR="00E260A3" w:rsidRDefault="00E260A3">
            <w:pPr>
              <w:rPr>
                <w:sz w:val="20"/>
                <w:szCs w:val="20"/>
              </w:rPr>
            </w:pPr>
          </w:p>
        </w:tc>
        <w:tc>
          <w:tcPr>
            <w:tcW w:w="1134" w:type="dxa"/>
            <w:tcBorders>
              <w:top w:val="nil"/>
              <w:left w:val="nil"/>
              <w:bottom w:val="nil"/>
              <w:right w:val="nil"/>
            </w:tcBorders>
            <w:shd w:val="clear" w:color="auto" w:fill="auto"/>
            <w:noWrap/>
            <w:vAlign w:val="bottom"/>
            <w:hideMark/>
          </w:tcPr>
          <w:p w14:paraId="0F9AE6D8" w14:textId="77777777" w:rsidR="00E260A3" w:rsidRDefault="00E260A3">
            <w:pPr>
              <w:rPr>
                <w:sz w:val="20"/>
                <w:szCs w:val="20"/>
              </w:rPr>
            </w:pPr>
          </w:p>
        </w:tc>
      </w:tr>
      <w:tr w:rsidR="00E260A3" w14:paraId="25B320F5" w14:textId="77777777" w:rsidTr="00E260A3">
        <w:trPr>
          <w:trHeight w:val="255"/>
        </w:trPr>
        <w:tc>
          <w:tcPr>
            <w:tcW w:w="3114" w:type="dxa"/>
            <w:tcBorders>
              <w:top w:val="nil"/>
              <w:left w:val="nil"/>
              <w:bottom w:val="nil"/>
              <w:right w:val="nil"/>
            </w:tcBorders>
            <w:shd w:val="clear" w:color="auto" w:fill="auto"/>
            <w:noWrap/>
            <w:vAlign w:val="bottom"/>
            <w:hideMark/>
          </w:tcPr>
          <w:p w14:paraId="6500D05D" w14:textId="77777777" w:rsidR="00E260A3" w:rsidRDefault="00E260A3">
            <w:pPr>
              <w:rPr>
                <w:sz w:val="20"/>
                <w:szCs w:val="20"/>
              </w:rPr>
            </w:pPr>
          </w:p>
        </w:tc>
        <w:tc>
          <w:tcPr>
            <w:tcW w:w="1559" w:type="dxa"/>
            <w:tcBorders>
              <w:top w:val="nil"/>
              <w:left w:val="nil"/>
              <w:bottom w:val="nil"/>
              <w:right w:val="nil"/>
            </w:tcBorders>
            <w:shd w:val="clear" w:color="auto" w:fill="auto"/>
            <w:noWrap/>
            <w:vAlign w:val="bottom"/>
            <w:hideMark/>
          </w:tcPr>
          <w:p w14:paraId="6B466FE0" w14:textId="77777777" w:rsidR="00E260A3" w:rsidRDefault="00E260A3">
            <w:pPr>
              <w:rPr>
                <w:sz w:val="20"/>
                <w:szCs w:val="20"/>
              </w:rPr>
            </w:pPr>
          </w:p>
        </w:tc>
        <w:tc>
          <w:tcPr>
            <w:tcW w:w="1418" w:type="dxa"/>
            <w:tcBorders>
              <w:top w:val="nil"/>
              <w:left w:val="nil"/>
              <w:bottom w:val="nil"/>
              <w:right w:val="nil"/>
            </w:tcBorders>
            <w:shd w:val="clear" w:color="auto" w:fill="auto"/>
            <w:noWrap/>
            <w:vAlign w:val="bottom"/>
            <w:hideMark/>
          </w:tcPr>
          <w:p w14:paraId="083EDA64" w14:textId="77777777" w:rsidR="00E260A3" w:rsidRDefault="00E260A3">
            <w:pPr>
              <w:rPr>
                <w:sz w:val="20"/>
                <w:szCs w:val="20"/>
              </w:rPr>
            </w:pPr>
          </w:p>
        </w:tc>
        <w:tc>
          <w:tcPr>
            <w:tcW w:w="1417" w:type="dxa"/>
            <w:tcBorders>
              <w:top w:val="nil"/>
              <w:left w:val="nil"/>
              <w:bottom w:val="nil"/>
              <w:right w:val="nil"/>
            </w:tcBorders>
            <w:shd w:val="clear" w:color="auto" w:fill="auto"/>
            <w:noWrap/>
            <w:vAlign w:val="bottom"/>
            <w:hideMark/>
          </w:tcPr>
          <w:p w14:paraId="6E4CE519" w14:textId="77777777" w:rsidR="00E260A3" w:rsidRDefault="00E260A3">
            <w:pPr>
              <w:rPr>
                <w:sz w:val="20"/>
                <w:szCs w:val="20"/>
              </w:rPr>
            </w:pPr>
          </w:p>
        </w:tc>
        <w:tc>
          <w:tcPr>
            <w:tcW w:w="1134" w:type="dxa"/>
            <w:tcBorders>
              <w:top w:val="nil"/>
              <w:left w:val="nil"/>
              <w:bottom w:val="nil"/>
              <w:right w:val="nil"/>
            </w:tcBorders>
            <w:shd w:val="clear" w:color="auto" w:fill="auto"/>
            <w:noWrap/>
            <w:vAlign w:val="bottom"/>
            <w:hideMark/>
          </w:tcPr>
          <w:p w14:paraId="16FDE7D2" w14:textId="77777777" w:rsidR="00E260A3" w:rsidRDefault="00E260A3">
            <w:pPr>
              <w:rPr>
                <w:sz w:val="20"/>
                <w:szCs w:val="20"/>
              </w:rPr>
            </w:pPr>
          </w:p>
        </w:tc>
      </w:tr>
      <w:tr w:rsidR="00E260A3" w14:paraId="43A99664" w14:textId="77777777" w:rsidTr="00E260A3">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41D49" w14:textId="77777777" w:rsidR="00E260A3" w:rsidRDefault="00E260A3">
            <w:pPr>
              <w:jc w:val="center"/>
              <w:rPr>
                <w:rFonts w:ascii="Calibri" w:hAnsi="Calibri" w:cs="Calibri"/>
                <w:b/>
                <w:bCs/>
                <w:color w:val="000000"/>
                <w:sz w:val="22"/>
                <w:szCs w:val="22"/>
              </w:rPr>
            </w:pPr>
            <w:r>
              <w:rPr>
                <w:rFonts w:ascii="Calibri" w:hAnsi="Calibri" w:cs="Calibri"/>
                <w:b/>
                <w:bCs/>
                <w:color w:val="000000"/>
                <w:sz w:val="22"/>
                <w:szCs w:val="22"/>
              </w:rPr>
              <w:t>Importi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E461E6"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Crediti 2019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8C6901"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Debiti 2019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A52AE6"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ricavi 2019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6B83BB" w14:textId="0A87527B"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costi 2019</w:t>
            </w:r>
          </w:p>
        </w:tc>
      </w:tr>
      <w:tr w:rsidR="00E260A3" w14:paraId="215985AC"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BFB6519" w14:textId="77777777" w:rsidR="00E260A3" w:rsidRDefault="00E260A3">
            <w:pPr>
              <w:rPr>
                <w:rFonts w:ascii="Calibri" w:hAnsi="Calibri" w:cs="Calibri"/>
                <w:color w:val="000000"/>
                <w:sz w:val="22"/>
                <w:szCs w:val="22"/>
              </w:rPr>
            </w:pPr>
            <w:r>
              <w:rPr>
                <w:rFonts w:ascii="Calibri" w:hAnsi="Calibri" w:cs="Calibri"/>
                <w:color w:val="000000"/>
                <w:sz w:val="22"/>
                <w:szCs w:val="22"/>
              </w:rPr>
              <w:t>ABC</w:t>
            </w:r>
          </w:p>
        </w:tc>
        <w:tc>
          <w:tcPr>
            <w:tcW w:w="1559" w:type="dxa"/>
            <w:tcBorders>
              <w:top w:val="nil"/>
              <w:left w:val="nil"/>
              <w:bottom w:val="single" w:sz="4" w:space="0" w:color="auto"/>
              <w:right w:val="single" w:sz="4" w:space="0" w:color="auto"/>
            </w:tcBorders>
            <w:shd w:val="clear" w:color="auto" w:fill="auto"/>
            <w:noWrap/>
            <w:vAlign w:val="center"/>
            <w:hideMark/>
          </w:tcPr>
          <w:p w14:paraId="56626A10"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3</w:t>
            </w:r>
          </w:p>
        </w:tc>
        <w:tc>
          <w:tcPr>
            <w:tcW w:w="1418" w:type="dxa"/>
            <w:tcBorders>
              <w:top w:val="nil"/>
              <w:left w:val="nil"/>
              <w:bottom w:val="single" w:sz="4" w:space="0" w:color="auto"/>
              <w:right w:val="single" w:sz="4" w:space="0" w:color="auto"/>
            </w:tcBorders>
            <w:shd w:val="clear" w:color="auto" w:fill="auto"/>
            <w:noWrap/>
            <w:vAlign w:val="center"/>
            <w:hideMark/>
          </w:tcPr>
          <w:p w14:paraId="188BDCEE"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357</w:t>
            </w:r>
          </w:p>
        </w:tc>
        <w:tc>
          <w:tcPr>
            <w:tcW w:w="1417" w:type="dxa"/>
            <w:tcBorders>
              <w:top w:val="nil"/>
              <w:left w:val="nil"/>
              <w:bottom w:val="single" w:sz="4" w:space="0" w:color="auto"/>
              <w:right w:val="single" w:sz="4" w:space="0" w:color="auto"/>
            </w:tcBorders>
            <w:shd w:val="clear" w:color="auto" w:fill="auto"/>
            <w:noWrap/>
            <w:vAlign w:val="center"/>
            <w:hideMark/>
          </w:tcPr>
          <w:p w14:paraId="48A74644"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3F7432"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414</w:t>
            </w:r>
          </w:p>
        </w:tc>
      </w:tr>
      <w:tr w:rsidR="00E260A3" w14:paraId="1EBBC4B4"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269D35B" w14:textId="77777777" w:rsidR="00E260A3" w:rsidRDefault="00E260A3">
            <w:pPr>
              <w:rPr>
                <w:rFonts w:ascii="Calibri" w:hAnsi="Calibri" w:cs="Calibri"/>
                <w:color w:val="000000"/>
                <w:sz w:val="22"/>
                <w:szCs w:val="22"/>
              </w:rPr>
            </w:pPr>
            <w:r>
              <w:rPr>
                <w:rFonts w:ascii="Calibri" w:hAnsi="Calibri" w:cs="Calibri"/>
                <w:color w:val="000000"/>
                <w:sz w:val="22"/>
                <w:szCs w:val="22"/>
              </w:rPr>
              <w:t>ASIA</w:t>
            </w:r>
          </w:p>
        </w:tc>
        <w:tc>
          <w:tcPr>
            <w:tcW w:w="1559" w:type="dxa"/>
            <w:tcBorders>
              <w:top w:val="nil"/>
              <w:left w:val="nil"/>
              <w:bottom w:val="single" w:sz="4" w:space="0" w:color="auto"/>
              <w:right w:val="single" w:sz="4" w:space="0" w:color="auto"/>
            </w:tcBorders>
            <w:shd w:val="clear" w:color="auto" w:fill="auto"/>
            <w:noWrap/>
            <w:vAlign w:val="center"/>
            <w:hideMark/>
          </w:tcPr>
          <w:p w14:paraId="30DE028E"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154</w:t>
            </w:r>
          </w:p>
        </w:tc>
        <w:tc>
          <w:tcPr>
            <w:tcW w:w="1418" w:type="dxa"/>
            <w:tcBorders>
              <w:top w:val="nil"/>
              <w:left w:val="nil"/>
              <w:bottom w:val="single" w:sz="4" w:space="0" w:color="auto"/>
              <w:right w:val="single" w:sz="4" w:space="0" w:color="auto"/>
            </w:tcBorders>
            <w:shd w:val="clear" w:color="auto" w:fill="auto"/>
            <w:noWrap/>
            <w:vAlign w:val="center"/>
            <w:hideMark/>
          </w:tcPr>
          <w:p w14:paraId="5014D9C7"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F3901E"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363</w:t>
            </w:r>
          </w:p>
        </w:tc>
        <w:tc>
          <w:tcPr>
            <w:tcW w:w="1134" w:type="dxa"/>
            <w:tcBorders>
              <w:top w:val="nil"/>
              <w:left w:val="nil"/>
              <w:bottom w:val="single" w:sz="4" w:space="0" w:color="auto"/>
              <w:right w:val="single" w:sz="4" w:space="0" w:color="auto"/>
            </w:tcBorders>
            <w:shd w:val="clear" w:color="auto" w:fill="auto"/>
            <w:noWrap/>
            <w:vAlign w:val="center"/>
            <w:hideMark/>
          </w:tcPr>
          <w:p w14:paraId="7CECAD28"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2</w:t>
            </w:r>
          </w:p>
        </w:tc>
      </w:tr>
      <w:tr w:rsidR="00E260A3" w14:paraId="59F53505"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475F9E5" w14:textId="77777777" w:rsidR="00E260A3" w:rsidRDefault="00E260A3">
            <w:pPr>
              <w:rPr>
                <w:rFonts w:ascii="Calibri" w:hAnsi="Calibri" w:cs="Calibri"/>
                <w:color w:val="000000"/>
                <w:sz w:val="22"/>
                <w:szCs w:val="22"/>
              </w:rPr>
            </w:pPr>
            <w:r>
              <w:rPr>
                <w:rFonts w:ascii="Calibri" w:hAnsi="Calibri" w:cs="Calibri"/>
                <w:color w:val="000000"/>
                <w:sz w:val="22"/>
                <w:szCs w:val="22"/>
              </w:rPr>
              <w:t>Elpis</w:t>
            </w:r>
          </w:p>
        </w:tc>
        <w:tc>
          <w:tcPr>
            <w:tcW w:w="1559" w:type="dxa"/>
            <w:tcBorders>
              <w:top w:val="nil"/>
              <w:left w:val="nil"/>
              <w:bottom w:val="single" w:sz="4" w:space="0" w:color="auto"/>
              <w:right w:val="single" w:sz="4" w:space="0" w:color="auto"/>
            </w:tcBorders>
            <w:shd w:val="clear" w:color="auto" w:fill="auto"/>
            <w:noWrap/>
            <w:vAlign w:val="center"/>
            <w:hideMark/>
          </w:tcPr>
          <w:p w14:paraId="5D008B20"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78E628A8"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B2B3A9"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A33355"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r>
      <w:tr w:rsidR="00E260A3" w14:paraId="33B5DF40"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EFFE54C" w14:textId="77777777" w:rsidR="00E260A3" w:rsidRDefault="00E260A3">
            <w:pPr>
              <w:rPr>
                <w:rFonts w:ascii="Calibri" w:hAnsi="Calibri" w:cs="Calibri"/>
                <w:color w:val="000000"/>
                <w:sz w:val="22"/>
                <w:szCs w:val="22"/>
              </w:rPr>
            </w:pPr>
            <w:r>
              <w:rPr>
                <w:rFonts w:ascii="Calibri" w:hAnsi="Calibri" w:cs="Calibri"/>
                <w:color w:val="000000"/>
                <w:sz w:val="22"/>
                <w:szCs w:val="22"/>
              </w:rPr>
              <w:t>Napoli Servizi</w:t>
            </w:r>
          </w:p>
        </w:tc>
        <w:tc>
          <w:tcPr>
            <w:tcW w:w="1559" w:type="dxa"/>
            <w:tcBorders>
              <w:top w:val="nil"/>
              <w:left w:val="nil"/>
              <w:bottom w:val="single" w:sz="4" w:space="0" w:color="auto"/>
              <w:right w:val="single" w:sz="4" w:space="0" w:color="auto"/>
            </w:tcBorders>
            <w:shd w:val="clear" w:color="auto" w:fill="auto"/>
            <w:noWrap/>
            <w:vAlign w:val="center"/>
            <w:hideMark/>
          </w:tcPr>
          <w:p w14:paraId="2A0C5E57"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378BFF41"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CC3DAD"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66E041"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r>
      <w:tr w:rsidR="00E260A3" w14:paraId="45BC00AF"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3427895" w14:textId="77777777" w:rsidR="00E260A3" w:rsidRDefault="00E260A3">
            <w:pPr>
              <w:rPr>
                <w:rFonts w:ascii="Calibri" w:hAnsi="Calibri" w:cs="Calibri"/>
                <w:color w:val="000000"/>
                <w:sz w:val="22"/>
                <w:szCs w:val="22"/>
              </w:rPr>
            </w:pPr>
            <w:r>
              <w:rPr>
                <w:rFonts w:ascii="Calibri" w:hAnsi="Calibri" w:cs="Calibri"/>
                <w:color w:val="000000"/>
                <w:sz w:val="22"/>
                <w:szCs w:val="22"/>
              </w:rPr>
              <w:t>Napoli Sociale</w:t>
            </w:r>
          </w:p>
        </w:tc>
        <w:tc>
          <w:tcPr>
            <w:tcW w:w="1559" w:type="dxa"/>
            <w:tcBorders>
              <w:top w:val="nil"/>
              <w:left w:val="nil"/>
              <w:bottom w:val="single" w:sz="4" w:space="0" w:color="auto"/>
              <w:right w:val="single" w:sz="4" w:space="0" w:color="auto"/>
            </w:tcBorders>
            <w:shd w:val="clear" w:color="auto" w:fill="auto"/>
            <w:noWrap/>
            <w:vAlign w:val="center"/>
            <w:hideMark/>
          </w:tcPr>
          <w:p w14:paraId="0818E046"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D607F5F"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034437"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5CD09E"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r>
      <w:tr w:rsidR="00E260A3" w14:paraId="455DEEB6"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87317C2" w14:textId="77777777" w:rsidR="00E260A3" w:rsidRDefault="00E260A3">
            <w:pPr>
              <w:rPr>
                <w:rFonts w:ascii="Calibri" w:hAnsi="Calibri" w:cs="Calibri"/>
                <w:color w:val="000000"/>
                <w:sz w:val="22"/>
                <w:szCs w:val="22"/>
              </w:rPr>
            </w:pPr>
            <w:r>
              <w:rPr>
                <w:rFonts w:ascii="Calibri" w:hAnsi="Calibri" w:cs="Calibri"/>
                <w:color w:val="000000"/>
                <w:sz w:val="22"/>
                <w:szCs w:val="22"/>
              </w:rPr>
              <w:t>Terme di Agnano</w:t>
            </w:r>
          </w:p>
        </w:tc>
        <w:tc>
          <w:tcPr>
            <w:tcW w:w="1559" w:type="dxa"/>
            <w:tcBorders>
              <w:top w:val="nil"/>
              <w:left w:val="nil"/>
              <w:bottom w:val="single" w:sz="4" w:space="0" w:color="auto"/>
              <w:right w:val="single" w:sz="4" w:space="0" w:color="auto"/>
            </w:tcBorders>
            <w:shd w:val="clear" w:color="auto" w:fill="auto"/>
            <w:noWrap/>
            <w:vAlign w:val="center"/>
            <w:hideMark/>
          </w:tcPr>
          <w:p w14:paraId="526353AE"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478E0AC2"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15</w:t>
            </w:r>
          </w:p>
        </w:tc>
        <w:tc>
          <w:tcPr>
            <w:tcW w:w="1417" w:type="dxa"/>
            <w:tcBorders>
              <w:top w:val="nil"/>
              <w:left w:val="nil"/>
              <w:bottom w:val="single" w:sz="4" w:space="0" w:color="auto"/>
              <w:right w:val="single" w:sz="4" w:space="0" w:color="auto"/>
            </w:tcBorders>
            <w:shd w:val="clear" w:color="auto" w:fill="auto"/>
            <w:noWrap/>
            <w:vAlign w:val="center"/>
            <w:hideMark/>
          </w:tcPr>
          <w:p w14:paraId="2F3F986F"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C799A4"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r>
      <w:tr w:rsidR="00E260A3" w14:paraId="673DCC12"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F9B968E" w14:textId="77777777" w:rsidR="00E260A3" w:rsidRDefault="00E260A3">
            <w:pPr>
              <w:rPr>
                <w:rFonts w:ascii="Calibri" w:hAnsi="Calibri" w:cs="Calibri"/>
                <w:color w:val="000000"/>
                <w:sz w:val="22"/>
                <w:szCs w:val="22"/>
              </w:rPr>
            </w:pPr>
            <w:r>
              <w:rPr>
                <w:rFonts w:ascii="Calibri" w:hAnsi="Calibri" w:cs="Calibri"/>
                <w:color w:val="000000"/>
                <w:sz w:val="22"/>
                <w:szCs w:val="22"/>
              </w:rPr>
              <w:t>Mostra D'oltremare</w:t>
            </w:r>
          </w:p>
        </w:tc>
        <w:tc>
          <w:tcPr>
            <w:tcW w:w="1559" w:type="dxa"/>
            <w:tcBorders>
              <w:top w:val="nil"/>
              <w:left w:val="nil"/>
              <w:bottom w:val="single" w:sz="4" w:space="0" w:color="auto"/>
              <w:right w:val="single" w:sz="4" w:space="0" w:color="auto"/>
            </w:tcBorders>
            <w:shd w:val="clear" w:color="auto" w:fill="auto"/>
            <w:noWrap/>
            <w:vAlign w:val="center"/>
            <w:hideMark/>
          </w:tcPr>
          <w:p w14:paraId="4EEBA8A4"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41B17A5D"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B01302"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D609AC" w14:textId="77777777" w:rsidR="00E260A3" w:rsidRDefault="00E260A3">
            <w:pPr>
              <w:jc w:val="right"/>
              <w:rPr>
                <w:rFonts w:ascii="Calibri" w:hAnsi="Calibri" w:cs="Calibri"/>
                <w:color w:val="000000"/>
                <w:sz w:val="22"/>
                <w:szCs w:val="22"/>
              </w:rPr>
            </w:pPr>
            <w:r>
              <w:rPr>
                <w:rFonts w:ascii="Calibri" w:hAnsi="Calibri" w:cs="Calibri"/>
                <w:color w:val="000000"/>
                <w:sz w:val="22"/>
                <w:szCs w:val="22"/>
              </w:rPr>
              <w:t> </w:t>
            </w:r>
          </w:p>
        </w:tc>
      </w:tr>
      <w:tr w:rsidR="00E260A3" w14:paraId="4CFFE94C" w14:textId="77777777" w:rsidTr="00E260A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8CABE68" w14:textId="77777777" w:rsidR="00E260A3" w:rsidRDefault="00E260A3">
            <w:pPr>
              <w:rPr>
                <w:rFonts w:ascii="Calibri" w:hAnsi="Calibri" w:cs="Calibri"/>
                <w:b/>
                <w:bCs/>
                <w:color w:val="000000"/>
                <w:sz w:val="22"/>
                <w:szCs w:val="22"/>
              </w:rPr>
            </w:pPr>
            <w:r>
              <w:rPr>
                <w:rFonts w:ascii="Calibri" w:hAnsi="Calibri" w:cs="Calibri"/>
                <w:b/>
                <w:bCs/>
                <w:color w:val="000000"/>
                <w:sz w:val="22"/>
                <w:szCs w:val="22"/>
              </w:rPr>
              <w:t>Totale</w:t>
            </w:r>
          </w:p>
        </w:tc>
        <w:tc>
          <w:tcPr>
            <w:tcW w:w="1559" w:type="dxa"/>
            <w:tcBorders>
              <w:top w:val="nil"/>
              <w:left w:val="nil"/>
              <w:bottom w:val="single" w:sz="4" w:space="0" w:color="auto"/>
              <w:right w:val="single" w:sz="4" w:space="0" w:color="auto"/>
            </w:tcBorders>
            <w:shd w:val="clear" w:color="auto" w:fill="auto"/>
            <w:noWrap/>
            <w:vAlign w:val="center"/>
            <w:hideMark/>
          </w:tcPr>
          <w:p w14:paraId="24F77CE4"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170</w:t>
            </w:r>
          </w:p>
        </w:tc>
        <w:tc>
          <w:tcPr>
            <w:tcW w:w="1418" w:type="dxa"/>
            <w:tcBorders>
              <w:top w:val="nil"/>
              <w:left w:val="nil"/>
              <w:bottom w:val="single" w:sz="4" w:space="0" w:color="auto"/>
              <w:right w:val="single" w:sz="4" w:space="0" w:color="auto"/>
            </w:tcBorders>
            <w:shd w:val="clear" w:color="auto" w:fill="auto"/>
            <w:noWrap/>
            <w:vAlign w:val="center"/>
            <w:hideMark/>
          </w:tcPr>
          <w:p w14:paraId="457EF9E4"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372</w:t>
            </w:r>
          </w:p>
        </w:tc>
        <w:tc>
          <w:tcPr>
            <w:tcW w:w="1417" w:type="dxa"/>
            <w:tcBorders>
              <w:top w:val="nil"/>
              <w:left w:val="nil"/>
              <w:bottom w:val="single" w:sz="4" w:space="0" w:color="auto"/>
              <w:right w:val="single" w:sz="4" w:space="0" w:color="auto"/>
            </w:tcBorders>
            <w:shd w:val="clear" w:color="auto" w:fill="auto"/>
            <w:noWrap/>
            <w:vAlign w:val="center"/>
            <w:hideMark/>
          </w:tcPr>
          <w:p w14:paraId="3345691C"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363</w:t>
            </w:r>
          </w:p>
        </w:tc>
        <w:tc>
          <w:tcPr>
            <w:tcW w:w="1134" w:type="dxa"/>
            <w:tcBorders>
              <w:top w:val="nil"/>
              <w:left w:val="nil"/>
              <w:bottom w:val="single" w:sz="4" w:space="0" w:color="auto"/>
              <w:right w:val="single" w:sz="4" w:space="0" w:color="auto"/>
            </w:tcBorders>
            <w:shd w:val="clear" w:color="auto" w:fill="auto"/>
            <w:noWrap/>
            <w:vAlign w:val="center"/>
            <w:hideMark/>
          </w:tcPr>
          <w:p w14:paraId="08DE2361" w14:textId="77777777" w:rsidR="00E260A3" w:rsidRDefault="00E260A3">
            <w:pPr>
              <w:jc w:val="right"/>
              <w:rPr>
                <w:rFonts w:ascii="Calibri" w:hAnsi="Calibri" w:cs="Calibri"/>
                <w:b/>
                <w:bCs/>
                <w:color w:val="000000"/>
                <w:sz w:val="22"/>
                <w:szCs w:val="22"/>
              </w:rPr>
            </w:pPr>
            <w:r>
              <w:rPr>
                <w:rFonts w:ascii="Calibri" w:hAnsi="Calibri" w:cs="Calibri"/>
                <w:b/>
                <w:bCs/>
                <w:color w:val="000000"/>
                <w:sz w:val="22"/>
                <w:szCs w:val="22"/>
              </w:rPr>
              <w:t>416</w:t>
            </w:r>
          </w:p>
        </w:tc>
      </w:tr>
    </w:tbl>
    <w:p w14:paraId="3D5839FE" w14:textId="2444DBB2" w:rsidR="001C5C38" w:rsidRDefault="001C5C38" w:rsidP="009729A0">
      <w:pPr>
        <w:ind w:firstLine="708"/>
      </w:pPr>
    </w:p>
    <w:p w14:paraId="09176B45" w14:textId="77777777" w:rsidR="001C5C38" w:rsidRDefault="001C5C38" w:rsidP="001C5C38">
      <w:pPr>
        <w:snapToGrid w:val="0"/>
        <w:ind w:left="1530"/>
        <w:rPr>
          <w:rFonts w:ascii="Arial" w:hAnsi="Arial" w:cs="Arial"/>
          <w:color w:val="000000"/>
          <w:sz w:val="20"/>
          <w:szCs w:val="20"/>
        </w:rPr>
      </w:pPr>
    </w:p>
    <w:p w14:paraId="627AF6CD" w14:textId="06B5D82E" w:rsidR="001C5C38" w:rsidRDefault="001C5C38" w:rsidP="001C5C38">
      <w:pPr>
        <w:snapToGrid w:val="0"/>
        <w:rPr>
          <w:rFonts w:ascii="Arial" w:hAnsi="Arial" w:cs="Arial"/>
          <w:color w:val="000000"/>
          <w:sz w:val="20"/>
          <w:szCs w:val="20"/>
        </w:rPr>
      </w:pPr>
      <w:r>
        <w:rPr>
          <w:rFonts w:ascii="Arial" w:hAnsi="Arial" w:cs="Arial"/>
          <w:color w:val="000000"/>
          <w:sz w:val="20"/>
          <w:szCs w:val="20"/>
        </w:rPr>
        <w:t xml:space="preserve">Napoli, </w:t>
      </w:r>
      <w:r w:rsidR="00E260A3">
        <w:rPr>
          <w:rFonts w:ascii="Arial" w:hAnsi="Arial" w:cs="Arial"/>
          <w:color w:val="000000"/>
          <w:sz w:val="20"/>
          <w:szCs w:val="20"/>
        </w:rPr>
        <w:t xml:space="preserve"> </w:t>
      </w:r>
      <w:r w:rsidR="00696895">
        <w:rPr>
          <w:rFonts w:ascii="Arial" w:hAnsi="Arial" w:cs="Arial"/>
          <w:color w:val="000000"/>
          <w:sz w:val="20"/>
          <w:szCs w:val="20"/>
        </w:rPr>
        <w:t>04</w:t>
      </w:r>
      <w:r w:rsidR="00D65236">
        <w:rPr>
          <w:rFonts w:ascii="Arial" w:hAnsi="Arial" w:cs="Arial"/>
          <w:color w:val="000000"/>
          <w:sz w:val="20"/>
          <w:szCs w:val="20"/>
        </w:rPr>
        <w:t>/01/2021</w:t>
      </w:r>
    </w:p>
    <w:p w14:paraId="0B0208D5" w14:textId="77777777" w:rsidR="00E260A3" w:rsidRDefault="00E260A3" w:rsidP="001C5C38">
      <w:pPr>
        <w:snapToGrid w:val="0"/>
        <w:rPr>
          <w:rFonts w:ascii="Arial" w:hAnsi="Arial" w:cs="Arial"/>
          <w:color w:val="000000"/>
          <w:sz w:val="20"/>
          <w:szCs w:val="20"/>
        </w:rPr>
      </w:pPr>
    </w:p>
    <w:p w14:paraId="225B1448" w14:textId="00AD14C2" w:rsidR="001C5C38" w:rsidRDefault="001C5C38" w:rsidP="001C5C38">
      <w:pPr>
        <w:snapToGrid w:val="0"/>
        <w:rPr>
          <w:rFonts w:ascii="Arial" w:hAnsi="Arial" w:cs="Arial"/>
          <w:color w:val="000000"/>
          <w:sz w:val="20"/>
          <w:szCs w:val="20"/>
        </w:rPr>
      </w:pPr>
      <w:r>
        <w:rPr>
          <w:rFonts w:ascii="Arial" w:hAnsi="Arial" w:cs="Arial"/>
          <w:color w:val="000000"/>
          <w:sz w:val="20"/>
          <w:szCs w:val="20"/>
        </w:rPr>
        <w:t>Napoli Holding Srl</w:t>
      </w:r>
    </w:p>
    <w:p w14:paraId="1B25C0A9" w14:textId="77777777" w:rsidR="001C5C38" w:rsidRDefault="001C5C38" w:rsidP="001C5C38">
      <w:pPr>
        <w:snapToGrid w:val="0"/>
        <w:rPr>
          <w:rFonts w:ascii="Arial" w:hAnsi="Arial" w:cs="Arial"/>
          <w:color w:val="000000"/>
          <w:sz w:val="20"/>
          <w:szCs w:val="20"/>
        </w:rPr>
      </w:pPr>
    </w:p>
    <w:p w14:paraId="125CD735" w14:textId="77777777" w:rsidR="001C5C38" w:rsidRDefault="001C5C38" w:rsidP="001C5C38">
      <w:pPr>
        <w:snapToGrid w:val="0"/>
        <w:rPr>
          <w:rFonts w:ascii="Arial" w:hAnsi="Arial" w:cs="Arial"/>
          <w:color w:val="000000"/>
          <w:sz w:val="20"/>
          <w:szCs w:val="20"/>
        </w:rPr>
      </w:pPr>
      <w:r>
        <w:rPr>
          <w:rFonts w:ascii="Arial" w:hAnsi="Arial" w:cs="Arial"/>
          <w:color w:val="000000"/>
          <w:sz w:val="20"/>
          <w:szCs w:val="20"/>
        </w:rPr>
        <w:t>L’Amministratore Unico – dr. Amedeo Manzo</w:t>
      </w:r>
    </w:p>
    <w:p w14:paraId="0EB8CE7E" w14:textId="77777777" w:rsidR="001C5C38" w:rsidRDefault="001C5C38" w:rsidP="001C5C38">
      <w:pPr>
        <w:snapToGrid w:val="0"/>
        <w:rPr>
          <w:rFonts w:ascii="Arial" w:hAnsi="Arial" w:cs="Arial"/>
          <w:color w:val="000000"/>
          <w:sz w:val="20"/>
          <w:szCs w:val="20"/>
        </w:rPr>
      </w:pPr>
    </w:p>
    <w:p w14:paraId="1BD2C888" w14:textId="77777777" w:rsidR="001C5C38" w:rsidRDefault="001C5C38" w:rsidP="009729A0">
      <w:pPr>
        <w:ind w:firstLine="708"/>
        <w:rPr>
          <w:noProof/>
        </w:rPr>
      </w:pPr>
    </w:p>
    <w:sectPr w:rsidR="001C5C38" w:rsidSect="00AC4246">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438" w:right="2034" w:bottom="1644" w:left="1701" w:header="964" w:footer="79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38516" w14:textId="77777777" w:rsidR="00DD0CAC" w:rsidRDefault="00DD0CAC">
      <w:r>
        <w:separator/>
      </w:r>
    </w:p>
  </w:endnote>
  <w:endnote w:type="continuationSeparator" w:id="0">
    <w:p w14:paraId="1455ACA4" w14:textId="77777777" w:rsidR="00DD0CAC" w:rsidRDefault="00DD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0B98" w14:textId="77777777" w:rsidR="00140164" w:rsidRDefault="0014016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5BBE" w14:textId="0A1DBBFE" w:rsidR="002A4703" w:rsidRDefault="002A4703">
    <w:pPr>
      <w:pStyle w:val="Pidipagina"/>
      <w:pBdr>
        <w:top w:val="single" w:sz="4" w:space="1" w:color="auto"/>
      </w:pBdr>
      <w:tabs>
        <w:tab w:val="clear" w:pos="4819"/>
        <w:tab w:val="left" w:pos="7371"/>
      </w:tabs>
      <w:rPr>
        <w:rFonts w:ascii="Arial" w:hAnsi="Arial" w:cs="Arial"/>
        <w:sz w:val="18"/>
      </w:rPr>
    </w:pPr>
    <w:r>
      <w:rPr>
        <w:rFonts w:ascii="Arial" w:hAnsi="Arial" w:cs="Arial"/>
        <w:snapToGrid w:val="0"/>
        <w:sz w:val="18"/>
      </w:rPr>
      <w:t xml:space="preserve">Napoli Holding s.r.l. </w:t>
    </w:r>
    <w:r>
      <w:rPr>
        <w:rFonts w:ascii="Arial" w:hAnsi="Arial" w:cs="Arial"/>
        <w:sz w:val="18"/>
      </w:rPr>
      <w:t>Società con unico socio</w:t>
    </w:r>
    <w:r>
      <w:rPr>
        <w:rFonts w:ascii="Arial" w:hAnsi="Arial" w:cs="Arial"/>
        <w:snapToGrid w:val="0"/>
        <w:sz w:val="18"/>
      </w:rPr>
      <w:t xml:space="preserve"> – Nota Integrativa al Bilancio consolidato al 31.12.2019</w:t>
    </w:r>
    <w:r>
      <w:rPr>
        <w:rFonts w:ascii="Arial" w:hAnsi="Arial" w:cs="Arial"/>
        <w:sz w:val="18"/>
      </w:rPr>
      <w:tab/>
      <w:t xml:space="preserve">Pagina </w:t>
    </w:r>
    <w:r>
      <w:rPr>
        <w:rStyle w:val="Numeropagina"/>
        <w:rFonts w:ascii="Arial" w:hAnsi="Arial" w:cs="Arial"/>
        <w:sz w:val="18"/>
      </w:rPr>
      <w:fldChar w:fldCharType="begin"/>
    </w:r>
    <w:r>
      <w:rPr>
        <w:rStyle w:val="Numeropagina"/>
        <w:rFonts w:ascii="Arial" w:hAnsi="Arial" w:cs="Arial"/>
        <w:sz w:val="18"/>
      </w:rPr>
      <w:instrText xml:space="preserve"> PAGE </w:instrText>
    </w:r>
    <w:r>
      <w:rPr>
        <w:rStyle w:val="Numeropagina"/>
        <w:rFonts w:ascii="Arial" w:hAnsi="Arial" w:cs="Arial"/>
        <w:sz w:val="18"/>
      </w:rPr>
      <w:fldChar w:fldCharType="separate"/>
    </w:r>
    <w:r w:rsidR="00130525">
      <w:rPr>
        <w:rStyle w:val="Numeropagina"/>
        <w:rFonts w:ascii="Arial" w:hAnsi="Arial" w:cs="Arial"/>
        <w:noProof/>
        <w:sz w:val="18"/>
      </w:rPr>
      <w:t>21</w:t>
    </w:r>
    <w:r>
      <w:rPr>
        <w:rStyle w:val="Numeropagina"/>
        <w:rFonts w:ascii="Arial" w:hAnsi="Arial" w:cs="Arial"/>
        <w:sz w:val="18"/>
      </w:rPr>
      <w:fldChar w:fldCharType="end"/>
    </w:r>
  </w:p>
  <w:p w14:paraId="46355234" w14:textId="77777777" w:rsidR="002A4703" w:rsidRDefault="002A4703">
    <w:pPr>
      <w:pStyle w:val="Pidipagina"/>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3B29" w14:textId="77777777" w:rsidR="002A4703" w:rsidRDefault="002A4703">
    <w:pPr>
      <w:pStyle w:val="Pidipagina"/>
      <w:pBdr>
        <w:top w:val="single" w:sz="4" w:space="1" w:color="auto"/>
      </w:pBdr>
      <w:tabs>
        <w:tab w:val="clear" w:pos="4819"/>
        <w:tab w:val="left" w:pos="7371"/>
      </w:tabs>
      <w:rPr>
        <w:rFonts w:ascii="Arial" w:hAnsi="Arial" w:cs="Arial"/>
        <w:snapToGrid w:val="0"/>
        <w:sz w:val="18"/>
      </w:rPr>
    </w:pPr>
    <w:r>
      <w:rPr>
        <w:rFonts w:ascii="Arial" w:hAnsi="Arial" w:cs="Arial"/>
        <w:snapToGrid w:val="0"/>
        <w:sz w:val="18"/>
      </w:rPr>
      <w:t xml:space="preserve">Napoli Holding s.r.l. </w:t>
    </w:r>
    <w:r>
      <w:rPr>
        <w:rFonts w:ascii="Arial" w:hAnsi="Arial" w:cs="Arial"/>
        <w:sz w:val="18"/>
      </w:rPr>
      <w:t>Società con unico socio</w:t>
    </w:r>
    <w:r>
      <w:rPr>
        <w:rFonts w:ascii="Arial" w:hAnsi="Arial" w:cs="Arial"/>
        <w:snapToGrid w:val="0"/>
        <w:sz w:val="18"/>
      </w:rPr>
      <w:t xml:space="preserve"> – Nota Integrativa al Bilancio Consolidato al 31.12.2019</w:t>
    </w:r>
  </w:p>
  <w:p w14:paraId="5E6D468B" w14:textId="2879D503" w:rsidR="002A4703" w:rsidRDefault="002A4703">
    <w:pPr>
      <w:pStyle w:val="Pidipagina"/>
      <w:pBdr>
        <w:top w:val="single" w:sz="4" w:space="1" w:color="auto"/>
      </w:pBdr>
      <w:tabs>
        <w:tab w:val="clear" w:pos="4819"/>
        <w:tab w:val="left" w:pos="7371"/>
      </w:tabs>
      <w:rPr>
        <w:rFonts w:ascii="Arial" w:hAnsi="Arial" w:cs="Arial"/>
        <w:snapToGrid w:val="0"/>
        <w:sz w:val="18"/>
      </w:rPr>
    </w:pPr>
    <w:r>
      <w:rPr>
        <w:rFonts w:ascii="Arial" w:hAnsi="Arial" w:cs="Arial"/>
        <w:sz w:val="18"/>
      </w:rPr>
      <w:tab/>
      <w:t xml:space="preserve">Pagina </w:t>
    </w:r>
    <w:r>
      <w:rPr>
        <w:rStyle w:val="Numeropagina"/>
        <w:rFonts w:ascii="Arial" w:hAnsi="Arial" w:cs="Arial"/>
        <w:sz w:val="18"/>
      </w:rPr>
      <w:fldChar w:fldCharType="begin"/>
    </w:r>
    <w:r>
      <w:rPr>
        <w:rStyle w:val="Numeropagina"/>
        <w:rFonts w:ascii="Arial" w:hAnsi="Arial" w:cs="Arial"/>
        <w:sz w:val="18"/>
      </w:rPr>
      <w:instrText xml:space="preserve"> PAGE </w:instrText>
    </w:r>
    <w:r>
      <w:rPr>
        <w:rStyle w:val="Numeropagina"/>
        <w:rFonts w:ascii="Arial" w:hAnsi="Arial" w:cs="Arial"/>
        <w:sz w:val="18"/>
      </w:rPr>
      <w:fldChar w:fldCharType="separate"/>
    </w:r>
    <w:r w:rsidR="00130525">
      <w:rPr>
        <w:rStyle w:val="Numeropagina"/>
        <w:rFonts w:ascii="Arial" w:hAnsi="Arial" w:cs="Arial"/>
        <w:noProof/>
        <w:sz w:val="18"/>
      </w:rPr>
      <w:t>1</w:t>
    </w:r>
    <w:r>
      <w:rPr>
        <w:rStyle w:val="Numeropagina"/>
        <w:rFonts w:ascii="Arial" w:hAnsi="Arial" w:cs="Arial"/>
        <w:sz w:val="18"/>
      </w:rPr>
      <w:fldChar w:fldCharType="end"/>
    </w:r>
  </w:p>
  <w:p w14:paraId="21383A9C" w14:textId="77777777" w:rsidR="002A4703" w:rsidRDefault="002A47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CFFC2" w14:textId="77777777" w:rsidR="00DD0CAC" w:rsidRDefault="00DD0CAC">
      <w:r>
        <w:separator/>
      </w:r>
    </w:p>
  </w:footnote>
  <w:footnote w:type="continuationSeparator" w:id="0">
    <w:p w14:paraId="4744994C" w14:textId="77777777" w:rsidR="00DD0CAC" w:rsidRDefault="00DD0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E0C1" w14:textId="77777777" w:rsidR="00140164" w:rsidRDefault="0014016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71E3" w14:textId="77777777" w:rsidR="00140164" w:rsidRDefault="0014016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5193F" w14:textId="77777777" w:rsidR="002A4703" w:rsidRDefault="002A4703">
    <w:pPr>
      <w:widowControl w:val="0"/>
      <w:jc w:val="right"/>
      <w:rPr>
        <w:rFonts w:ascii="Arial" w:hAnsi="Arial" w:cs="Arial"/>
        <w:sz w:val="18"/>
        <w:lang w:val="de-DE"/>
      </w:rPr>
    </w:pPr>
    <w:r>
      <w:rPr>
        <w:rFonts w:ascii="Arial" w:hAnsi="Arial" w:cs="Arial"/>
        <w:sz w:val="18"/>
        <w:lang w:val="de-DE"/>
      </w:rPr>
      <w:t>Reg. Imp. (NA) 07942440632</w:t>
    </w:r>
  </w:p>
  <w:p w14:paraId="3D86528A" w14:textId="77777777" w:rsidR="002A4703" w:rsidRDefault="002A4703">
    <w:pPr>
      <w:pStyle w:val="Intestazione"/>
      <w:tabs>
        <w:tab w:val="clear" w:pos="4819"/>
        <w:tab w:val="center" w:pos="7380"/>
      </w:tabs>
      <w:ind w:right="1897"/>
      <w:rPr>
        <w:sz w:val="18"/>
      </w:rPr>
    </w:pPr>
    <w:r>
      <w:rPr>
        <w:rFonts w:ascii="Arial" w:hAnsi="Arial" w:cs="Arial"/>
        <w:sz w:val="18"/>
      </w:rPr>
      <w:tab/>
      <w:t xml:space="preserve">  Rea (NA) 682806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1637"/>
        </w:tabs>
        <w:ind w:left="1637" w:hanging="360"/>
      </w:pPr>
      <w:rPr>
        <w:rFonts w:ascii="Wingdings" w:hAnsi="Wingdings"/>
        <w:sz w:val="16"/>
      </w:rPr>
    </w:lvl>
  </w:abstractNum>
  <w:abstractNum w:abstractNumId="1" w15:restartNumberingAfterBreak="0">
    <w:nsid w:val="03DF41F4"/>
    <w:multiLevelType w:val="hybridMultilevel"/>
    <w:tmpl w:val="44C6AF40"/>
    <w:lvl w:ilvl="0" w:tplc="C8BC90C8">
      <w:start w:val="1"/>
      <w:numFmt w:val="decimal"/>
      <w:lvlText w:val="%1."/>
      <w:lvlJc w:val="left"/>
      <w:pPr>
        <w:tabs>
          <w:tab w:val="num" w:pos="360"/>
        </w:tabs>
        <w:ind w:left="360" w:hanging="360"/>
      </w:pPr>
      <w:rPr>
        <w:rFonts w:hint="default"/>
        <w:b w:val="0"/>
      </w:rPr>
    </w:lvl>
    <w:lvl w:ilvl="1" w:tplc="04100001">
      <w:start w:val="1"/>
      <w:numFmt w:val="bullet"/>
      <w:lvlText w:val=""/>
      <w:lvlJc w:val="left"/>
      <w:pPr>
        <w:tabs>
          <w:tab w:val="num" w:pos="1440"/>
        </w:tabs>
        <w:ind w:left="1440" w:hanging="360"/>
      </w:pPr>
      <w:rPr>
        <w:rFonts w:ascii="Symbol" w:hAnsi="Symbol" w:hint="default"/>
      </w:rPr>
    </w:lvl>
    <w:lvl w:ilvl="2" w:tplc="2F6E056A">
      <w:start w:val="3"/>
      <w:numFmt w:val="lowerLetter"/>
      <w:lvlText w:val="%3)"/>
      <w:lvlJc w:val="left"/>
      <w:pPr>
        <w:tabs>
          <w:tab w:val="num" w:pos="2280"/>
        </w:tabs>
        <w:ind w:left="2280" w:hanging="480"/>
      </w:pPr>
      <w:rPr>
        <w:rFonts w:hint="default"/>
      </w:rPr>
    </w:lvl>
    <w:lvl w:ilvl="3" w:tplc="9DCC1A62">
      <w:start w:val="3"/>
      <w:numFmt w:val="decimal"/>
      <w:lvlText w:val="%4"/>
      <w:lvlJc w:val="left"/>
      <w:pPr>
        <w:ind w:left="2880" w:hanging="360"/>
      </w:pPr>
      <w:rPr>
        <w:rFonts w:hint="default"/>
        <w:b/>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B69A3"/>
    <w:multiLevelType w:val="hybridMultilevel"/>
    <w:tmpl w:val="ABCC4984"/>
    <w:lvl w:ilvl="0" w:tplc="7948400A">
      <w:numFmt w:val="bullet"/>
      <w:lvlText w:val="-"/>
      <w:lvlJc w:val="left"/>
      <w:pPr>
        <w:ind w:left="2771" w:hanging="360"/>
      </w:pPr>
      <w:rPr>
        <w:rFonts w:ascii="Arial" w:eastAsia="Andale Sans U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234FFA"/>
    <w:multiLevelType w:val="hybridMultilevel"/>
    <w:tmpl w:val="BA46B6B0"/>
    <w:lvl w:ilvl="0" w:tplc="7948400A">
      <w:numFmt w:val="bullet"/>
      <w:lvlText w:val="-"/>
      <w:lvlJc w:val="left"/>
      <w:pPr>
        <w:ind w:left="1211" w:hanging="360"/>
      </w:pPr>
      <w:rPr>
        <w:rFonts w:ascii="Arial" w:eastAsia="Andale Sans U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17">
      <w:start w:val="1"/>
      <w:numFmt w:val="lowerLetter"/>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A60BB"/>
    <w:multiLevelType w:val="hybridMultilevel"/>
    <w:tmpl w:val="41862C84"/>
    <w:lvl w:ilvl="0" w:tplc="4AFADA6A">
      <w:start w:val="1"/>
      <w:numFmt w:val="bullet"/>
      <w:lvlText w:val=""/>
      <w:lvlJc w:val="left"/>
      <w:pPr>
        <w:tabs>
          <w:tab w:val="num" w:pos="644"/>
        </w:tabs>
        <w:ind w:left="360" w:firstLine="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CC34261"/>
    <w:multiLevelType w:val="hybridMultilevel"/>
    <w:tmpl w:val="9F1EBBEA"/>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E4DC4"/>
    <w:multiLevelType w:val="hybridMultilevel"/>
    <w:tmpl w:val="3A9AB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E44B5F"/>
    <w:multiLevelType w:val="hybridMultilevel"/>
    <w:tmpl w:val="27900F38"/>
    <w:lvl w:ilvl="0" w:tplc="222C5C1C">
      <w:start w:val="7"/>
      <w:numFmt w:val="bullet"/>
      <w:lvlText w:val="−"/>
      <w:lvlJc w:val="left"/>
      <w:pPr>
        <w:ind w:left="360" w:hanging="360"/>
      </w:pPr>
      <w:rPr>
        <w:rFonts w:ascii="Arial" w:eastAsia="Andale Sans U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F13780"/>
    <w:multiLevelType w:val="hybridMultilevel"/>
    <w:tmpl w:val="E270712E"/>
    <w:lvl w:ilvl="0" w:tplc="8E105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E43EB"/>
    <w:multiLevelType w:val="hybridMultilevel"/>
    <w:tmpl w:val="82DC9ACA"/>
    <w:lvl w:ilvl="0" w:tplc="54B2C1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25C94"/>
    <w:multiLevelType w:val="hybridMultilevel"/>
    <w:tmpl w:val="DAB847B6"/>
    <w:lvl w:ilvl="0" w:tplc="FFDA0264">
      <w:start w:val="1"/>
      <w:numFmt w:val="bullet"/>
      <w:lvlText w:val=""/>
      <w:lvlJc w:val="left"/>
      <w:pPr>
        <w:tabs>
          <w:tab w:val="num" w:pos="720"/>
        </w:tabs>
        <w:ind w:left="700" w:hanging="340"/>
      </w:pPr>
      <w:rPr>
        <w:rFonts w:ascii="Wingdings" w:hAnsi="Wingdings" w:hint="default"/>
      </w:rPr>
    </w:lvl>
    <w:lvl w:ilvl="1" w:tplc="04100003">
      <w:start w:val="1"/>
      <w:numFmt w:val="bullet"/>
      <w:lvlText w:val="o"/>
      <w:lvlJc w:val="left"/>
      <w:pPr>
        <w:tabs>
          <w:tab w:val="num" w:pos="1070"/>
        </w:tabs>
        <w:ind w:left="107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B64056"/>
    <w:multiLevelType w:val="hybridMultilevel"/>
    <w:tmpl w:val="E1B6A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F3371F"/>
    <w:multiLevelType w:val="hybridMultilevel"/>
    <w:tmpl w:val="B560B56C"/>
    <w:lvl w:ilvl="0" w:tplc="4C643068">
      <w:start w:val="1"/>
      <w:numFmt w:val="bullet"/>
      <w:lvlText w:val=""/>
      <w:lvlJc w:val="left"/>
      <w:pPr>
        <w:tabs>
          <w:tab w:val="num" w:pos="284"/>
        </w:tabs>
        <w:ind w:left="227" w:hanging="22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504CA"/>
    <w:multiLevelType w:val="hybridMultilevel"/>
    <w:tmpl w:val="F00EF18E"/>
    <w:lvl w:ilvl="0" w:tplc="7948400A">
      <w:numFmt w:val="bullet"/>
      <w:lvlText w:val="-"/>
      <w:lvlJc w:val="left"/>
      <w:pPr>
        <w:ind w:left="2280" w:hanging="360"/>
      </w:pPr>
      <w:rPr>
        <w:rFonts w:ascii="Arial" w:eastAsia="Andale Sans UI" w:hAnsi="Arial" w:cs="Aria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22A8379C"/>
    <w:multiLevelType w:val="hybridMultilevel"/>
    <w:tmpl w:val="CEEA6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A949C1"/>
    <w:multiLevelType w:val="multilevel"/>
    <w:tmpl w:val="5A166E2C"/>
    <w:styleLink w:val="ElencoPremesse"/>
    <w:lvl w:ilvl="0">
      <w:start w:val="1"/>
      <w:numFmt w:val="lowerLetter"/>
      <w:pStyle w:val="Premesse"/>
      <w:lvlText w:val="%1."/>
      <w:lvlJc w:val="left"/>
    </w:lvl>
    <w:lvl w:ilvl="1">
      <w:start w:val="1"/>
      <w:numFmt w:val="decimal"/>
      <w:lvlText w:val="(%1.%2)"/>
      <w:lvlJc w:val="left"/>
      <w:pPr>
        <w:ind w:left="283" w:firstLine="0"/>
      </w:pPr>
    </w:lvl>
    <w:lvl w:ilvl="2">
      <w:start w:val="1"/>
      <w:numFmt w:val="lowerRoman"/>
      <w:lvlText w:val="(%1.%2.%3)"/>
      <w:lvlJc w:val="left"/>
      <w:pPr>
        <w:ind w:left="567" w:firstLine="0"/>
      </w:pPr>
    </w:lvl>
    <w:lvl w:ilvl="3">
      <w:start w:val="1"/>
      <w:numFmt w:val="upp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7D66444"/>
    <w:multiLevelType w:val="hybridMultilevel"/>
    <w:tmpl w:val="A0543F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8411B7"/>
    <w:multiLevelType w:val="hybridMultilevel"/>
    <w:tmpl w:val="81BEC15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26A86"/>
    <w:multiLevelType w:val="hybridMultilevel"/>
    <w:tmpl w:val="E0B65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2B08B8"/>
    <w:multiLevelType w:val="hybridMultilevel"/>
    <w:tmpl w:val="51D0F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106680A"/>
    <w:multiLevelType w:val="hybridMultilevel"/>
    <w:tmpl w:val="27B49D9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630BF"/>
    <w:multiLevelType w:val="hybridMultilevel"/>
    <w:tmpl w:val="FF50407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9D5B47"/>
    <w:multiLevelType w:val="hybridMultilevel"/>
    <w:tmpl w:val="EE8E7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7737FAC"/>
    <w:multiLevelType w:val="hybridMultilevel"/>
    <w:tmpl w:val="8D7E924E"/>
    <w:lvl w:ilvl="0" w:tplc="32F2D2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582E56"/>
    <w:multiLevelType w:val="hybridMultilevel"/>
    <w:tmpl w:val="04D6C416"/>
    <w:lvl w:ilvl="0" w:tplc="32F2D2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E46BDA"/>
    <w:multiLevelType w:val="hybridMultilevel"/>
    <w:tmpl w:val="2374793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863764"/>
    <w:multiLevelType w:val="hybridMultilevel"/>
    <w:tmpl w:val="4B127708"/>
    <w:lvl w:ilvl="0" w:tplc="04100001">
      <w:start w:val="1"/>
      <w:numFmt w:val="bullet"/>
      <w:lvlText w:val=""/>
      <w:lvlJc w:val="left"/>
      <w:pPr>
        <w:ind w:left="2280" w:hanging="360"/>
      </w:pPr>
      <w:rPr>
        <w:rFonts w:ascii="Symbol" w:hAnsi="Symbol" w:hint="default"/>
      </w:rPr>
    </w:lvl>
    <w:lvl w:ilvl="1" w:tplc="04100003">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7" w15:restartNumberingAfterBreak="0">
    <w:nsid w:val="41D37CDF"/>
    <w:multiLevelType w:val="hybridMultilevel"/>
    <w:tmpl w:val="8E5AAA72"/>
    <w:lvl w:ilvl="0" w:tplc="32F2D2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B77B49"/>
    <w:multiLevelType w:val="hybridMultilevel"/>
    <w:tmpl w:val="C4F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00DD3"/>
    <w:multiLevelType w:val="hybridMultilevel"/>
    <w:tmpl w:val="61BA75EE"/>
    <w:lvl w:ilvl="0" w:tplc="A7A4CC56">
      <w:start w:val="1"/>
      <w:numFmt w:val="bullet"/>
      <w:lvlText w:val=""/>
      <w:lvlJc w:val="left"/>
      <w:pPr>
        <w:tabs>
          <w:tab w:val="num" w:pos="907"/>
        </w:tabs>
        <w:ind w:left="90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9E3E28"/>
    <w:multiLevelType w:val="hybridMultilevel"/>
    <w:tmpl w:val="DD7C8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8F762F2"/>
    <w:multiLevelType w:val="hybridMultilevel"/>
    <w:tmpl w:val="1A10176E"/>
    <w:lvl w:ilvl="0" w:tplc="AA562D9E">
      <w:start w:val="1"/>
      <w:numFmt w:val="bullet"/>
      <w:lvlText w:val=""/>
      <w:lvlJc w:val="left"/>
      <w:pPr>
        <w:tabs>
          <w:tab w:val="num" w:pos="700"/>
        </w:tabs>
        <w:ind w:left="680" w:hanging="340"/>
      </w:pPr>
      <w:rPr>
        <w:rFonts w:ascii="Wingdings" w:hAnsi="Wingdings" w:hint="default"/>
      </w:rPr>
    </w:lvl>
    <w:lvl w:ilvl="1" w:tplc="C04C9FD8">
      <w:start w:val="16"/>
      <w:numFmt w:val="bullet"/>
      <w:lvlText w:val="-"/>
      <w:lvlJc w:val="left"/>
      <w:pPr>
        <w:tabs>
          <w:tab w:val="num" w:pos="2148"/>
        </w:tabs>
        <w:ind w:left="2148" w:hanging="360"/>
      </w:pPr>
      <w:rPr>
        <w:rFonts w:ascii="Times New Roman" w:eastAsia="Times New Roman" w:hAnsi="Times New Roman" w:cs="Times New Roman"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49243896"/>
    <w:multiLevelType w:val="hybridMultilevel"/>
    <w:tmpl w:val="AD88BF5E"/>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4F7508EC"/>
    <w:multiLevelType w:val="hybridMultilevel"/>
    <w:tmpl w:val="F5B856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3C2E80"/>
    <w:multiLevelType w:val="hybridMultilevel"/>
    <w:tmpl w:val="1A2C5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644584"/>
    <w:multiLevelType w:val="hybridMultilevel"/>
    <w:tmpl w:val="E62E0E48"/>
    <w:lvl w:ilvl="0" w:tplc="A7A4CC56">
      <w:start w:val="1"/>
      <w:numFmt w:val="bullet"/>
      <w:lvlText w:val=""/>
      <w:lvlJc w:val="left"/>
      <w:pPr>
        <w:tabs>
          <w:tab w:val="num" w:pos="680"/>
        </w:tabs>
        <w:ind w:left="680" w:hanging="567"/>
      </w:pPr>
      <w:rPr>
        <w:rFonts w:ascii="Wingdings" w:hAnsi="Wingdings" w:hint="default"/>
      </w:rPr>
    </w:lvl>
    <w:lvl w:ilvl="1" w:tplc="4C643068">
      <w:start w:val="1"/>
      <w:numFmt w:val="bullet"/>
      <w:lvlText w:val=""/>
      <w:lvlJc w:val="left"/>
      <w:pPr>
        <w:tabs>
          <w:tab w:val="num" w:pos="2044"/>
        </w:tabs>
        <w:ind w:left="1987" w:hanging="227"/>
      </w:pPr>
      <w:rPr>
        <w:rFonts w:ascii="Symbol" w:hAnsi="Symbol" w:hint="default"/>
        <w:color w:val="auto"/>
      </w:rPr>
    </w:lvl>
    <w:lvl w:ilvl="2" w:tplc="04100005" w:tentative="1">
      <w:start w:val="1"/>
      <w:numFmt w:val="bullet"/>
      <w:lvlText w:val=""/>
      <w:lvlJc w:val="left"/>
      <w:pPr>
        <w:tabs>
          <w:tab w:val="num" w:pos="2840"/>
        </w:tabs>
        <w:ind w:left="2840" w:hanging="360"/>
      </w:pPr>
      <w:rPr>
        <w:rFonts w:ascii="Wingdings" w:hAnsi="Wingdings" w:hint="default"/>
      </w:rPr>
    </w:lvl>
    <w:lvl w:ilvl="3" w:tplc="04100001" w:tentative="1">
      <w:start w:val="1"/>
      <w:numFmt w:val="bullet"/>
      <w:lvlText w:val=""/>
      <w:lvlJc w:val="left"/>
      <w:pPr>
        <w:tabs>
          <w:tab w:val="num" w:pos="3560"/>
        </w:tabs>
        <w:ind w:left="3560" w:hanging="360"/>
      </w:pPr>
      <w:rPr>
        <w:rFonts w:ascii="Symbol" w:hAnsi="Symbol" w:hint="default"/>
      </w:rPr>
    </w:lvl>
    <w:lvl w:ilvl="4" w:tplc="04100003" w:tentative="1">
      <w:start w:val="1"/>
      <w:numFmt w:val="bullet"/>
      <w:lvlText w:val="o"/>
      <w:lvlJc w:val="left"/>
      <w:pPr>
        <w:tabs>
          <w:tab w:val="num" w:pos="4280"/>
        </w:tabs>
        <w:ind w:left="4280" w:hanging="360"/>
      </w:pPr>
      <w:rPr>
        <w:rFonts w:ascii="Courier New" w:hAnsi="Courier New" w:hint="default"/>
      </w:rPr>
    </w:lvl>
    <w:lvl w:ilvl="5" w:tplc="04100005" w:tentative="1">
      <w:start w:val="1"/>
      <w:numFmt w:val="bullet"/>
      <w:lvlText w:val=""/>
      <w:lvlJc w:val="left"/>
      <w:pPr>
        <w:tabs>
          <w:tab w:val="num" w:pos="5000"/>
        </w:tabs>
        <w:ind w:left="5000" w:hanging="360"/>
      </w:pPr>
      <w:rPr>
        <w:rFonts w:ascii="Wingdings" w:hAnsi="Wingdings" w:hint="default"/>
      </w:rPr>
    </w:lvl>
    <w:lvl w:ilvl="6" w:tplc="04100001" w:tentative="1">
      <w:start w:val="1"/>
      <w:numFmt w:val="bullet"/>
      <w:lvlText w:val=""/>
      <w:lvlJc w:val="left"/>
      <w:pPr>
        <w:tabs>
          <w:tab w:val="num" w:pos="5720"/>
        </w:tabs>
        <w:ind w:left="5720" w:hanging="360"/>
      </w:pPr>
      <w:rPr>
        <w:rFonts w:ascii="Symbol" w:hAnsi="Symbol" w:hint="default"/>
      </w:rPr>
    </w:lvl>
    <w:lvl w:ilvl="7" w:tplc="04100003" w:tentative="1">
      <w:start w:val="1"/>
      <w:numFmt w:val="bullet"/>
      <w:lvlText w:val="o"/>
      <w:lvlJc w:val="left"/>
      <w:pPr>
        <w:tabs>
          <w:tab w:val="num" w:pos="6440"/>
        </w:tabs>
        <w:ind w:left="6440" w:hanging="360"/>
      </w:pPr>
      <w:rPr>
        <w:rFonts w:ascii="Courier New" w:hAnsi="Courier New" w:hint="default"/>
      </w:rPr>
    </w:lvl>
    <w:lvl w:ilvl="8" w:tplc="04100005" w:tentative="1">
      <w:start w:val="1"/>
      <w:numFmt w:val="bullet"/>
      <w:lvlText w:val=""/>
      <w:lvlJc w:val="left"/>
      <w:pPr>
        <w:tabs>
          <w:tab w:val="num" w:pos="7160"/>
        </w:tabs>
        <w:ind w:left="7160" w:hanging="360"/>
      </w:pPr>
      <w:rPr>
        <w:rFonts w:ascii="Wingdings" w:hAnsi="Wingdings" w:hint="default"/>
      </w:rPr>
    </w:lvl>
  </w:abstractNum>
  <w:abstractNum w:abstractNumId="36" w15:restartNumberingAfterBreak="0">
    <w:nsid w:val="54854213"/>
    <w:multiLevelType w:val="hybridMultilevel"/>
    <w:tmpl w:val="3400726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7707B8"/>
    <w:multiLevelType w:val="hybridMultilevel"/>
    <w:tmpl w:val="AB08BFF6"/>
    <w:lvl w:ilvl="0" w:tplc="B194FD7A">
      <w:start w:val="1"/>
      <w:numFmt w:val="bullet"/>
      <w:lvlText w:val=""/>
      <w:lvlJc w:val="left"/>
      <w:pPr>
        <w:tabs>
          <w:tab w:val="num" w:pos="360"/>
        </w:tabs>
        <w:ind w:left="360" w:hanging="360"/>
      </w:pPr>
      <w:rPr>
        <w:rFonts w:ascii="Wingdings" w:hAnsi="Wingdings"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071D49"/>
    <w:multiLevelType w:val="hybridMultilevel"/>
    <w:tmpl w:val="6264F7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B47A68"/>
    <w:multiLevelType w:val="hybridMultilevel"/>
    <w:tmpl w:val="3DE853E2"/>
    <w:lvl w:ilvl="0" w:tplc="0410000B">
      <w:start w:val="1"/>
      <w:numFmt w:val="bullet"/>
      <w:lvlText w:val=""/>
      <w:lvlJc w:val="left"/>
      <w:pPr>
        <w:tabs>
          <w:tab w:val="num" w:pos="720"/>
        </w:tabs>
        <w:ind w:left="720" w:hanging="360"/>
      </w:pPr>
      <w:rPr>
        <w:rFonts w:ascii="Wingdings" w:hAnsi="Wingdings" w:hint="default"/>
      </w:rPr>
    </w:lvl>
    <w:lvl w:ilvl="1" w:tplc="05F26FA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F33DCC"/>
    <w:multiLevelType w:val="hybridMultilevel"/>
    <w:tmpl w:val="1604D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7324687"/>
    <w:multiLevelType w:val="hybridMultilevel"/>
    <w:tmpl w:val="75B40B62"/>
    <w:lvl w:ilvl="0" w:tplc="24D8B72E">
      <w:start w:val="1"/>
      <w:numFmt w:val="bullet"/>
      <w:lvlText w:val=""/>
      <w:lvlJc w:val="left"/>
      <w:pPr>
        <w:tabs>
          <w:tab w:val="num" w:pos="1440"/>
        </w:tabs>
        <w:ind w:left="1440" w:hanging="1213"/>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586440"/>
    <w:multiLevelType w:val="hybridMultilevel"/>
    <w:tmpl w:val="6B76F912"/>
    <w:lvl w:ilvl="0" w:tplc="7948400A">
      <w:numFmt w:val="bullet"/>
      <w:lvlText w:val="-"/>
      <w:lvlJc w:val="left"/>
      <w:pPr>
        <w:ind w:left="2771" w:hanging="360"/>
      </w:pPr>
      <w:rPr>
        <w:rFonts w:ascii="Arial" w:eastAsia="Andale Sans UI" w:hAnsi="Arial" w:cs="Aria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3" w15:restartNumberingAfterBreak="0">
    <w:nsid w:val="702C1FA0"/>
    <w:multiLevelType w:val="hybridMultilevel"/>
    <w:tmpl w:val="054A2BB6"/>
    <w:lvl w:ilvl="0" w:tplc="F97A555E">
      <w:start w:val="2"/>
      <w:numFmt w:val="bullet"/>
      <w:lvlText w:val="-"/>
      <w:lvlJc w:val="left"/>
      <w:pPr>
        <w:ind w:left="1287" w:hanging="360"/>
      </w:pPr>
      <w:rPr>
        <w:rFonts w:ascii="Times New Roman" w:hAnsi="Times New Roman" w:hint="default"/>
      </w:rPr>
    </w:lvl>
    <w:lvl w:ilvl="1" w:tplc="3F086780">
      <w:start w:val="2"/>
      <w:numFmt w:val="bullet"/>
      <w:lvlText w:val="•"/>
      <w:lvlJc w:val="left"/>
      <w:pPr>
        <w:ind w:left="2337" w:hanging="690"/>
      </w:pPr>
      <w:rPr>
        <w:rFonts w:ascii="Bookman Old Style" w:eastAsia="Times New Roman" w:hAnsi="Bookman Old Style" w:cs="Times New Roman"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4" w15:restartNumberingAfterBreak="0">
    <w:nsid w:val="70653175"/>
    <w:multiLevelType w:val="hybridMultilevel"/>
    <w:tmpl w:val="21980F58"/>
    <w:lvl w:ilvl="0" w:tplc="7948400A">
      <w:numFmt w:val="bullet"/>
      <w:lvlText w:val="-"/>
      <w:lvlJc w:val="left"/>
      <w:pPr>
        <w:ind w:left="1211" w:hanging="360"/>
      </w:pPr>
      <w:rPr>
        <w:rFonts w:ascii="Arial" w:eastAsia="Andale Sans UI"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5" w15:restartNumberingAfterBreak="0">
    <w:nsid w:val="72521421"/>
    <w:multiLevelType w:val="hybridMultilevel"/>
    <w:tmpl w:val="9CE0D474"/>
    <w:lvl w:ilvl="0" w:tplc="0410000B">
      <w:start w:val="1"/>
      <w:numFmt w:val="bullet"/>
      <w:lvlText w:val=""/>
      <w:lvlJc w:val="left"/>
      <w:pPr>
        <w:tabs>
          <w:tab w:val="num" w:pos="360"/>
        </w:tabs>
        <w:ind w:left="360" w:hanging="360"/>
      </w:pPr>
      <w:rPr>
        <w:rFonts w:ascii="Wingdings" w:hAnsi="Wingdings" w:hint="default"/>
      </w:rPr>
    </w:lvl>
    <w:lvl w:ilvl="1" w:tplc="5776C4AC">
      <w:start w:val="1"/>
      <w:numFmt w:val="bullet"/>
      <w:lvlText w:val=""/>
      <w:lvlJc w:val="left"/>
      <w:pPr>
        <w:tabs>
          <w:tab w:val="num" w:pos="284"/>
        </w:tabs>
        <w:ind w:left="-170" w:firstLine="170"/>
      </w:pPr>
      <w:rPr>
        <w:rFonts w:ascii="Wingdings" w:hAnsi="Wingdings" w:hint="default"/>
      </w:rPr>
    </w:lvl>
    <w:lvl w:ilvl="2" w:tplc="04100007">
      <w:start w:val="1"/>
      <w:numFmt w:val="bullet"/>
      <w:lvlText w:val=""/>
      <w:lvlJc w:val="left"/>
      <w:pPr>
        <w:tabs>
          <w:tab w:val="num" w:pos="1800"/>
        </w:tabs>
        <w:ind w:left="1800" w:hanging="360"/>
      </w:pPr>
      <w:rPr>
        <w:rFonts w:ascii="Wingdings" w:hAnsi="Wingdings" w:hint="default"/>
        <w:sz w:val="16"/>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4ED7C1C"/>
    <w:multiLevelType w:val="hybridMultilevel"/>
    <w:tmpl w:val="2C3072C4"/>
    <w:lvl w:ilvl="0" w:tplc="28E43C8E">
      <w:start w:val="1"/>
      <w:numFmt w:val="bullet"/>
      <w:lvlText w:val=""/>
      <w:lvlJc w:val="left"/>
      <w:pPr>
        <w:tabs>
          <w:tab w:val="num" w:pos="738"/>
        </w:tabs>
        <w:ind w:left="625" w:hanging="341"/>
      </w:pPr>
      <w:rPr>
        <w:rFonts w:ascii="Wingdings" w:hAnsi="Wingdings" w:hint="default"/>
      </w:rPr>
    </w:lvl>
    <w:lvl w:ilvl="1" w:tplc="4AFADA6A">
      <w:start w:val="1"/>
      <w:numFmt w:val="bullet"/>
      <w:lvlText w:val=""/>
      <w:lvlJc w:val="left"/>
      <w:pPr>
        <w:tabs>
          <w:tab w:val="num" w:pos="2044"/>
        </w:tabs>
        <w:ind w:left="1760" w:firstLine="0"/>
      </w:pPr>
      <w:rPr>
        <w:rFonts w:ascii="Symbol" w:hAnsi="Symbol" w:hint="default"/>
        <w:color w:val="auto"/>
      </w:rPr>
    </w:lvl>
    <w:lvl w:ilvl="2" w:tplc="04100005" w:tentative="1">
      <w:start w:val="1"/>
      <w:numFmt w:val="bullet"/>
      <w:lvlText w:val=""/>
      <w:lvlJc w:val="left"/>
      <w:pPr>
        <w:tabs>
          <w:tab w:val="num" w:pos="2840"/>
        </w:tabs>
        <w:ind w:left="2840" w:hanging="360"/>
      </w:pPr>
      <w:rPr>
        <w:rFonts w:ascii="Wingdings" w:hAnsi="Wingdings" w:hint="default"/>
      </w:rPr>
    </w:lvl>
    <w:lvl w:ilvl="3" w:tplc="04100001" w:tentative="1">
      <w:start w:val="1"/>
      <w:numFmt w:val="bullet"/>
      <w:lvlText w:val=""/>
      <w:lvlJc w:val="left"/>
      <w:pPr>
        <w:tabs>
          <w:tab w:val="num" w:pos="3560"/>
        </w:tabs>
        <w:ind w:left="3560" w:hanging="360"/>
      </w:pPr>
      <w:rPr>
        <w:rFonts w:ascii="Symbol" w:hAnsi="Symbol" w:hint="default"/>
      </w:rPr>
    </w:lvl>
    <w:lvl w:ilvl="4" w:tplc="04100003" w:tentative="1">
      <w:start w:val="1"/>
      <w:numFmt w:val="bullet"/>
      <w:lvlText w:val="o"/>
      <w:lvlJc w:val="left"/>
      <w:pPr>
        <w:tabs>
          <w:tab w:val="num" w:pos="4280"/>
        </w:tabs>
        <w:ind w:left="4280" w:hanging="360"/>
      </w:pPr>
      <w:rPr>
        <w:rFonts w:ascii="Courier New" w:hAnsi="Courier New" w:cs="Courier New" w:hint="default"/>
      </w:rPr>
    </w:lvl>
    <w:lvl w:ilvl="5" w:tplc="04100005" w:tentative="1">
      <w:start w:val="1"/>
      <w:numFmt w:val="bullet"/>
      <w:lvlText w:val=""/>
      <w:lvlJc w:val="left"/>
      <w:pPr>
        <w:tabs>
          <w:tab w:val="num" w:pos="5000"/>
        </w:tabs>
        <w:ind w:left="5000" w:hanging="360"/>
      </w:pPr>
      <w:rPr>
        <w:rFonts w:ascii="Wingdings" w:hAnsi="Wingdings" w:hint="default"/>
      </w:rPr>
    </w:lvl>
    <w:lvl w:ilvl="6" w:tplc="04100001" w:tentative="1">
      <w:start w:val="1"/>
      <w:numFmt w:val="bullet"/>
      <w:lvlText w:val=""/>
      <w:lvlJc w:val="left"/>
      <w:pPr>
        <w:tabs>
          <w:tab w:val="num" w:pos="5720"/>
        </w:tabs>
        <w:ind w:left="5720" w:hanging="360"/>
      </w:pPr>
      <w:rPr>
        <w:rFonts w:ascii="Symbol" w:hAnsi="Symbol" w:hint="default"/>
      </w:rPr>
    </w:lvl>
    <w:lvl w:ilvl="7" w:tplc="04100003" w:tentative="1">
      <w:start w:val="1"/>
      <w:numFmt w:val="bullet"/>
      <w:lvlText w:val="o"/>
      <w:lvlJc w:val="left"/>
      <w:pPr>
        <w:tabs>
          <w:tab w:val="num" w:pos="6440"/>
        </w:tabs>
        <w:ind w:left="6440" w:hanging="360"/>
      </w:pPr>
      <w:rPr>
        <w:rFonts w:ascii="Courier New" w:hAnsi="Courier New" w:cs="Courier New" w:hint="default"/>
      </w:rPr>
    </w:lvl>
    <w:lvl w:ilvl="8" w:tplc="04100005" w:tentative="1">
      <w:start w:val="1"/>
      <w:numFmt w:val="bullet"/>
      <w:lvlText w:val=""/>
      <w:lvlJc w:val="left"/>
      <w:pPr>
        <w:tabs>
          <w:tab w:val="num" w:pos="7160"/>
        </w:tabs>
        <w:ind w:left="7160" w:hanging="360"/>
      </w:pPr>
      <w:rPr>
        <w:rFonts w:ascii="Wingdings" w:hAnsi="Wingdings" w:hint="default"/>
      </w:rPr>
    </w:lvl>
  </w:abstractNum>
  <w:abstractNum w:abstractNumId="47" w15:restartNumberingAfterBreak="0">
    <w:nsid w:val="753F40F1"/>
    <w:multiLevelType w:val="hybridMultilevel"/>
    <w:tmpl w:val="7AE4157E"/>
    <w:lvl w:ilvl="0" w:tplc="A89CE390">
      <w:start w:val="1"/>
      <w:numFmt w:val="bullet"/>
      <w:lvlText w:val=""/>
      <w:lvlJc w:val="left"/>
      <w:pPr>
        <w:tabs>
          <w:tab w:val="num" w:pos="1191"/>
        </w:tabs>
        <w:ind w:left="907" w:hanging="680"/>
      </w:pPr>
      <w:rPr>
        <w:rFonts w:ascii="Wingdings" w:hAnsi="Wingdings" w:hint="default"/>
      </w:rPr>
    </w:lvl>
    <w:lvl w:ilvl="1" w:tplc="F0D83226">
      <w:start w:val="1"/>
      <w:numFmt w:val="bullet"/>
      <w:lvlText w:val=""/>
      <w:lvlJc w:val="left"/>
      <w:pPr>
        <w:tabs>
          <w:tab w:val="num" w:pos="2498"/>
        </w:tabs>
        <w:ind w:left="1874" w:hanging="567"/>
      </w:pPr>
      <w:rPr>
        <w:rFonts w:ascii="Wingdings" w:hAnsi="Wingdings" w:hint="default"/>
      </w:rPr>
    </w:lvl>
    <w:lvl w:ilvl="2" w:tplc="04100005" w:tentative="1">
      <w:start w:val="1"/>
      <w:numFmt w:val="bullet"/>
      <w:lvlText w:val=""/>
      <w:lvlJc w:val="left"/>
      <w:pPr>
        <w:tabs>
          <w:tab w:val="num" w:pos="2387"/>
        </w:tabs>
        <w:ind w:left="2387" w:hanging="360"/>
      </w:pPr>
      <w:rPr>
        <w:rFonts w:ascii="Wingdings" w:hAnsi="Wingdings" w:hint="default"/>
      </w:rPr>
    </w:lvl>
    <w:lvl w:ilvl="3" w:tplc="04100001" w:tentative="1">
      <w:start w:val="1"/>
      <w:numFmt w:val="bullet"/>
      <w:lvlText w:val=""/>
      <w:lvlJc w:val="left"/>
      <w:pPr>
        <w:tabs>
          <w:tab w:val="num" w:pos="3107"/>
        </w:tabs>
        <w:ind w:left="3107" w:hanging="360"/>
      </w:pPr>
      <w:rPr>
        <w:rFonts w:ascii="Symbol" w:hAnsi="Symbol" w:hint="default"/>
      </w:rPr>
    </w:lvl>
    <w:lvl w:ilvl="4" w:tplc="04100003" w:tentative="1">
      <w:start w:val="1"/>
      <w:numFmt w:val="bullet"/>
      <w:lvlText w:val="o"/>
      <w:lvlJc w:val="left"/>
      <w:pPr>
        <w:tabs>
          <w:tab w:val="num" w:pos="3827"/>
        </w:tabs>
        <w:ind w:left="3827" w:hanging="360"/>
      </w:pPr>
      <w:rPr>
        <w:rFonts w:ascii="Courier New" w:hAnsi="Courier New" w:cs="Courier New" w:hint="default"/>
      </w:rPr>
    </w:lvl>
    <w:lvl w:ilvl="5" w:tplc="04100005" w:tentative="1">
      <w:start w:val="1"/>
      <w:numFmt w:val="bullet"/>
      <w:lvlText w:val=""/>
      <w:lvlJc w:val="left"/>
      <w:pPr>
        <w:tabs>
          <w:tab w:val="num" w:pos="4547"/>
        </w:tabs>
        <w:ind w:left="4547" w:hanging="360"/>
      </w:pPr>
      <w:rPr>
        <w:rFonts w:ascii="Wingdings" w:hAnsi="Wingdings" w:hint="default"/>
      </w:rPr>
    </w:lvl>
    <w:lvl w:ilvl="6" w:tplc="04100001" w:tentative="1">
      <w:start w:val="1"/>
      <w:numFmt w:val="bullet"/>
      <w:lvlText w:val=""/>
      <w:lvlJc w:val="left"/>
      <w:pPr>
        <w:tabs>
          <w:tab w:val="num" w:pos="5267"/>
        </w:tabs>
        <w:ind w:left="5267" w:hanging="360"/>
      </w:pPr>
      <w:rPr>
        <w:rFonts w:ascii="Symbol" w:hAnsi="Symbol" w:hint="default"/>
      </w:rPr>
    </w:lvl>
    <w:lvl w:ilvl="7" w:tplc="04100003" w:tentative="1">
      <w:start w:val="1"/>
      <w:numFmt w:val="bullet"/>
      <w:lvlText w:val="o"/>
      <w:lvlJc w:val="left"/>
      <w:pPr>
        <w:tabs>
          <w:tab w:val="num" w:pos="5987"/>
        </w:tabs>
        <w:ind w:left="5987" w:hanging="360"/>
      </w:pPr>
      <w:rPr>
        <w:rFonts w:ascii="Courier New" w:hAnsi="Courier New" w:cs="Courier New" w:hint="default"/>
      </w:rPr>
    </w:lvl>
    <w:lvl w:ilvl="8" w:tplc="04100005" w:tentative="1">
      <w:start w:val="1"/>
      <w:numFmt w:val="bullet"/>
      <w:lvlText w:val=""/>
      <w:lvlJc w:val="left"/>
      <w:pPr>
        <w:tabs>
          <w:tab w:val="num" w:pos="6707"/>
        </w:tabs>
        <w:ind w:left="6707" w:hanging="360"/>
      </w:pPr>
      <w:rPr>
        <w:rFonts w:ascii="Wingdings" w:hAnsi="Wingdings" w:hint="default"/>
      </w:rPr>
    </w:lvl>
  </w:abstractNum>
  <w:abstractNum w:abstractNumId="48" w15:restartNumberingAfterBreak="0">
    <w:nsid w:val="76BD7A71"/>
    <w:multiLevelType w:val="hybridMultilevel"/>
    <w:tmpl w:val="34225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77E7DDB"/>
    <w:multiLevelType w:val="hybridMultilevel"/>
    <w:tmpl w:val="F98E4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AEB53DB"/>
    <w:multiLevelType w:val="hybridMultilevel"/>
    <w:tmpl w:val="2D30D334"/>
    <w:lvl w:ilvl="0" w:tplc="8954BE94">
      <w:start w:val="1"/>
      <w:numFmt w:val="bullet"/>
      <w:lvlText w:val=""/>
      <w:lvlJc w:val="left"/>
      <w:pPr>
        <w:tabs>
          <w:tab w:val="num" w:pos="1080"/>
        </w:tabs>
        <w:ind w:left="1080" w:hanging="853"/>
      </w:pPr>
      <w:rPr>
        <w:rFonts w:ascii="Wingdings" w:hAnsi="Wingdings" w:hint="default"/>
      </w:rPr>
    </w:lvl>
    <w:lvl w:ilvl="1" w:tplc="E81E4316">
      <w:start w:val="1"/>
      <w:numFmt w:val="bullet"/>
      <w:lvlText w:val=""/>
      <w:lvlJc w:val="left"/>
      <w:pPr>
        <w:tabs>
          <w:tab w:val="num" w:pos="1477"/>
        </w:tabs>
        <w:ind w:left="2384" w:hanging="1304"/>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D62019"/>
    <w:multiLevelType w:val="hybridMultilevel"/>
    <w:tmpl w:val="10B69690"/>
    <w:lvl w:ilvl="0" w:tplc="32F2D2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C6867E3"/>
    <w:multiLevelType w:val="hybridMultilevel"/>
    <w:tmpl w:val="6882DE3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42"/>
  </w:num>
  <w:num w:numId="4">
    <w:abstractNumId w:val="44"/>
  </w:num>
  <w:num w:numId="5">
    <w:abstractNumId w:val="3"/>
    <w:lvlOverride w:ilvl="0"/>
    <w:lvlOverride w:ilvl="1"/>
    <w:lvlOverride w:ilvl="2">
      <w:startOverride w:val="1"/>
    </w:lvlOverride>
    <w:lvlOverride w:ilvl="3"/>
    <w:lvlOverride w:ilvl="4"/>
    <w:lvlOverride w:ilvl="5"/>
    <w:lvlOverride w:ilvl="6"/>
    <w:lvlOverride w:ilvl="7"/>
    <w:lvlOverride w:ilvl="8"/>
  </w:num>
  <w:num w:numId="6">
    <w:abstractNumId w:val="26"/>
  </w:num>
  <w:num w:numId="7">
    <w:abstractNumId w:val="42"/>
  </w:num>
  <w:num w:numId="8">
    <w:abstractNumId w:val="6"/>
  </w:num>
  <w:num w:numId="9">
    <w:abstractNumId w:val="52"/>
  </w:num>
  <w:num w:numId="10">
    <w:abstractNumId w:val="39"/>
  </w:num>
  <w:num w:numId="11">
    <w:abstractNumId w:val="30"/>
  </w:num>
  <w:num w:numId="12">
    <w:abstractNumId w:val="41"/>
  </w:num>
  <w:num w:numId="13">
    <w:abstractNumId w:val="20"/>
  </w:num>
  <w:num w:numId="14">
    <w:abstractNumId w:val="5"/>
  </w:num>
  <w:num w:numId="15">
    <w:abstractNumId w:val="25"/>
  </w:num>
  <w:num w:numId="16">
    <w:abstractNumId w:val="36"/>
  </w:num>
  <w:num w:numId="17">
    <w:abstractNumId w:val="17"/>
  </w:num>
  <w:num w:numId="18">
    <w:abstractNumId w:val="38"/>
  </w:num>
  <w:num w:numId="19">
    <w:abstractNumId w:val="10"/>
  </w:num>
  <w:num w:numId="20">
    <w:abstractNumId w:val="1"/>
  </w:num>
  <w:num w:numId="21">
    <w:abstractNumId w:val="31"/>
  </w:num>
  <w:num w:numId="22">
    <w:abstractNumId w:val="35"/>
  </w:num>
  <w:num w:numId="23">
    <w:abstractNumId w:val="29"/>
  </w:num>
  <w:num w:numId="24">
    <w:abstractNumId w:val="46"/>
  </w:num>
  <w:num w:numId="25">
    <w:abstractNumId w:val="48"/>
  </w:num>
  <w:num w:numId="26">
    <w:abstractNumId w:val="22"/>
  </w:num>
  <w:num w:numId="27">
    <w:abstractNumId w:val="16"/>
  </w:num>
  <w:num w:numId="28">
    <w:abstractNumId w:val="21"/>
  </w:num>
  <w:num w:numId="29">
    <w:abstractNumId w:val="12"/>
  </w:num>
  <w:num w:numId="30">
    <w:abstractNumId w:val="32"/>
  </w:num>
  <w:num w:numId="31">
    <w:abstractNumId w:val="18"/>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47"/>
  </w:num>
  <w:num w:numId="35">
    <w:abstractNumId w:val="33"/>
  </w:num>
  <w:num w:numId="36">
    <w:abstractNumId w:val="14"/>
  </w:num>
  <w:num w:numId="37">
    <w:abstractNumId w:val="40"/>
  </w:num>
  <w:num w:numId="38">
    <w:abstractNumId w:val="3"/>
  </w:num>
  <w:num w:numId="39">
    <w:abstractNumId w:val="24"/>
  </w:num>
  <w:num w:numId="40">
    <w:abstractNumId w:val="27"/>
  </w:num>
  <w:num w:numId="41">
    <w:abstractNumId w:val="45"/>
  </w:num>
  <w:num w:numId="42">
    <w:abstractNumId w:val="37"/>
  </w:num>
  <w:num w:numId="43">
    <w:abstractNumId w:val="2"/>
  </w:num>
  <w:num w:numId="44">
    <w:abstractNumId w:val="49"/>
  </w:num>
  <w:num w:numId="45">
    <w:abstractNumId w:val="11"/>
  </w:num>
  <w:num w:numId="46">
    <w:abstractNumId w:val="19"/>
  </w:num>
  <w:num w:numId="47">
    <w:abstractNumId w:val="34"/>
  </w:num>
  <w:num w:numId="48">
    <w:abstractNumId w:val="23"/>
  </w:num>
  <w:num w:numId="49">
    <w:abstractNumId w:val="51"/>
  </w:num>
  <w:num w:numId="50">
    <w:abstractNumId w:val="43"/>
  </w:num>
  <w:num w:numId="51">
    <w:abstractNumId w:val="9"/>
  </w:num>
  <w:num w:numId="52">
    <w:abstractNumId w:val="8"/>
  </w:num>
  <w:num w:numId="53">
    <w:abstractNumId w:val="28"/>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trackRevision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F5"/>
    <w:rsid w:val="00000928"/>
    <w:rsid w:val="00000D7A"/>
    <w:rsid w:val="000014F8"/>
    <w:rsid w:val="00001890"/>
    <w:rsid w:val="000021C0"/>
    <w:rsid w:val="000023FE"/>
    <w:rsid w:val="00002642"/>
    <w:rsid w:val="00002BF5"/>
    <w:rsid w:val="00004724"/>
    <w:rsid w:val="00005408"/>
    <w:rsid w:val="00005E91"/>
    <w:rsid w:val="000070A5"/>
    <w:rsid w:val="00007FF2"/>
    <w:rsid w:val="00011E89"/>
    <w:rsid w:val="00012D9D"/>
    <w:rsid w:val="00013916"/>
    <w:rsid w:val="00014847"/>
    <w:rsid w:val="000149EB"/>
    <w:rsid w:val="0001516A"/>
    <w:rsid w:val="00015CE7"/>
    <w:rsid w:val="00015EFD"/>
    <w:rsid w:val="000162DD"/>
    <w:rsid w:val="00017462"/>
    <w:rsid w:val="00020B0B"/>
    <w:rsid w:val="000229A9"/>
    <w:rsid w:val="00023163"/>
    <w:rsid w:val="00024147"/>
    <w:rsid w:val="00024465"/>
    <w:rsid w:val="000261A5"/>
    <w:rsid w:val="00026662"/>
    <w:rsid w:val="00027157"/>
    <w:rsid w:val="000271DD"/>
    <w:rsid w:val="00027864"/>
    <w:rsid w:val="00031882"/>
    <w:rsid w:val="00033B81"/>
    <w:rsid w:val="00036228"/>
    <w:rsid w:val="00037327"/>
    <w:rsid w:val="0003789D"/>
    <w:rsid w:val="00037BB3"/>
    <w:rsid w:val="00041537"/>
    <w:rsid w:val="00042203"/>
    <w:rsid w:val="0004492E"/>
    <w:rsid w:val="0004606A"/>
    <w:rsid w:val="0005081B"/>
    <w:rsid w:val="000510DC"/>
    <w:rsid w:val="00051EBE"/>
    <w:rsid w:val="0005214A"/>
    <w:rsid w:val="00054D0A"/>
    <w:rsid w:val="00054DBB"/>
    <w:rsid w:val="00055355"/>
    <w:rsid w:val="00055AEF"/>
    <w:rsid w:val="00056A60"/>
    <w:rsid w:val="00056C53"/>
    <w:rsid w:val="00061288"/>
    <w:rsid w:val="000617E2"/>
    <w:rsid w:val="00064B50"/>
    <w:rsid w:val="00064C68"/>
    <w:rsid w:val="00065FF1"/>
    <w:rsid w:val="0006616F"/>
    <w:rsid w:val="000670AE"/>
    <w:rsid w:val="000673A6"/>
    <w:rsid w:val="00070F43"/>
    <w:rsid w:val="000718AC"/>
    <w:rsid w:val="000721D7"/>
    <w:rsid w:val="00072AB8"/>
    <w:rsid w:val="00072F25"/>
    <w:rsid w:val="00073B8B"/>
    <w:rsid w:val="0007489F"/>
    <w:rsid w:val="00075ACE"/>
    <w:rsid w:val="00075F54"/>
    <w:rsid w:val="000805B4"/>
    <w:rsid w:val="000815E1"/>
    <w:rsid w:val="00082DDE"/>
    <w:rsid w:val="0008392D"/>
    <w:rsid w:val="00083DDF"/>
    <w:rsid w:val="000844F1"/>
    <w:rsid w:val="0008470A"/>
    <w:rsid w:val="00084D2A"/>
    <w:rsid w:val="0008614F"/>
    <w:rsid w:val="00090082"/>
    <w:rsid w:val="00093F9D"/>
    <w:rsid w:val="0009401F"/>
    <w:rsid w:val="0009423A"/>
    <w:rsid w:val="0009479C"/>
    <w:rsid w:val="00094EB9"/>
    <w:rsid w:val="000950FB"/>
    <w:rsid w:val="00095743"/>
    <w:rsid w:val="000961A8"/>
    <w:rsid w:val="00096896"/>
    <w:rsid w:val="00097007"/>
    <w:rsid w:val="0009718E"/>
    <w:rsid w:val="00097BA2"/>
    <w:rsid w:val="000A2AEF"/>
    <w:rsid w:val="000A4CB2"/>
    <w:rsid w:val="000A5033"/>
    <w:rsid w:val="000A58FF"/>
    <w:rsid w:val="000A5E49"/>
    <w:rsid w:val="000A5F87"/>
    <w:rsid w:val="000A6F10"/>
    <w:rsid w:val="000A72DA"/>
    <w:rsid w:val="000A7CF5"/>
    <w:rsid w:val="000B0560"/>
    <w:rsid w:val="000B1602"/>
    <w:rsid w:val="000B191B"/>
    <w:rsid w:val="000B1BAA"/>
    <w:rsid w:val="000B343F"/>
    <w:rsid w:val="000B44A2"/>
    <w:rsid w:val="000B5130"/>
    <w:rsid w:val="000B632A"/>
    <w:rsid w:val="000B6569"/>
    <w:rsid w:val="000B6812"/>
    <w:rsid w:val="000C014C"/>
    <w:rsid w:val="000C0586"/>
    <w:rsid w:val="000C2670"/>
    <w:rsid w:val="000C303E"/>
    <w:rsid w:val="000C3EB7"/>
    <w:rsid w:val="000C51A2"/>
    <w:rsid w:val="000C6C5D"/>
    <w:rsid w:val="000D0376"/>
    <w:rsid w:val="000D1B94"/>
    <w:rsid w:val="000D3223"/>
    <w:rsid w:val="000D438C"/>
    <w:rsid w:val="000D6542"/>
    <w:rsid w:val="000D694F"/>
    <w:rsid w:val="000E0EA5"/>
    <w:rsid w:val="000E14B7"/>
    <w:rsid w:val="000E151A"/>
    <w:rsid w:val="000E2D67"/>
    <w:rsid w:val="000E5349"/>
    <w:rsid w:val="000E5495"/>
    <w:rsid w:val="000E5A51"/>
    <w:rsid w:val="000E5C69"/>
    <w:rsid w:val="000E7599"/>
    <w:rsid w:val="000F048E"/>
    <w:rsid w:val="000F0A67"/>
    <w:rsid w:val="000F224F"/>
    <w:rsid w:val="000F2479"/>
    <w:rsid w:val="000F24C7"/>
    <w:rsid w:val="000F27DF"/>
    <w:rsid w:val="000F2F75"/>
    <w:rsid w:val="000F39D8"/>
    <w:rsid w:val="000F4200"/>
    <w:rsid w:val="000F4321"/>
    <w:rsid w:val="000F4718"/>
    <w:rsid w:val="000F4741"/>
    <w:rsid w:val="000F6094"/>
    <w:rsid w:val="00100113"/>
    <w:rsid w:val="001002A9"/>
    <w:rsid w:val="00100317"/>
    <w:rsid w:val="00100B08"/>
    <w:rsid w:val="00100BE0"/>
    <w:rsid w:val="00101342"/>
    <w:rsid w:val="00101B10"/>
    <w:rsid w:val="00102825"/>
    <w:rsid w:val="0010297A"/>
    <w:rsid w:val="001031CF"/>
    <w:rsid w:val="00104BCB"/>
    <w:rsid w:val="00106036"/>
    <w:rsid w:val="001065CE"/>
    <w:rsid w:val="001066DA"/>
    <w:rsid w:val="00107E04"/>
    <w:rsid w:val="00110F1B"/>
    <w:rsid w:val="00111831"/>
    <w:rsid w:val="00114767"/>
    <w:rsid w:val="00114781"/>
    <w:rsid w:val="00114ADE"/>
    <w:rsid w:val="0011546E"/>
    <w:rsid w:val="00116B06"/>
    <w:rsid w:val="00116B4F"/>
    <w:rsid w:val="00117D10"/>
    <w:rsid w:val="00121461"/>
    <w:rsid w:val="00121465"/>
    <w:rsid w:val="00121554"/>
    <w:rsid w:val="0012197A"/>
    <w:rsid w:val="001223E5"/>
    <w:rsid w:val="00122812"/>
    <w:rsid w:val="0013028A"/>
    <w:rsid w:val="00130525"/>
    <w:rsid w:val="0013348C"/>
    <w:rsid w:val="001352FB"/>
    <w:rsid w:val="00137CB7"/>
    <w:rsid w:val="00140164"/>
    <w:rsid w:val="00140740"/>
    <w:rsid w:val="00141791"/>
    <w:rsid w:val="00141B69"/>
    <w:rsid w:val="0014269C"/>
    <w:rsid w:val="00142E17"/>
    <w:rsid w:val="00143964"/>
    <w:rsid w:val="00144360"/>
    <w:rsid w:val="001462C9"/>
    <w:rsid w:val="00146B7C"/>
    <w:rsid w:val="00147F01"/>
    <w:rsid w:val="00150829"/>
    <w:rsid w:val="00150DE2"/>
    <w:rsid w:val="00153472"/>
    <w:rsid w:val="00153E39"/>
    <w:rsid w:val="00154D20"/>
    <w:rsid w:val="00156154"/>
    <w:rsid w:val="00162288"/>
    <w:rsid w:val="0016296C"/>
    <w:rsid w:val="001629CA"/>
    <w:rsid w:val="001633FB"/>
    <w:rsid w:val="00163F25"/>
    <w:rsid w:val="0016593F"/>
    <w:rsid w:val="001664E3"/>
    <w:rsid w:val="001712D7"/>
    <w:rsid w:val="00172483"/>
    <w:rsid w:val="00175037"/>
    <w:rsid w:val="00176108"/>
    <w:rsid w:val="001773D3"/>
    <w:rsid w:val="00182262"/>
    <w:rsid w:val="0018295D"/>
    <w:rsid w:val="00183778"/>
    <w:rsid w:val="001838B3"/>
    <w:rsid w:val="00184CD0"/>
    <w:rsid w:val="0018621A"/>
    <w:rsid w:val="00186E83"/>
    <w:rsid w:val="00187846"/>
    <w:rsid w:val="001910BB"/>
    <w:rsid w:val="00192EB8"/>
    <w:rsid w:val="00193F3E"/>
    <w:rsid w:val="001949EE"/>
    <w:rsid w:val="00197FD5"/>
    <w:rsid w:val="001A1C9D"/>
    <w:rsid w:val="001A1FDB"/>
    <w:rsid w:val="001A4984"/>
    <w:rsid w:val="001A4DC0"/>
    <w:rsid w:val="001A597C"/>
    <w:rsid w:val="001A5ECC"/>
    <w:rsid w:val="001A68FC"/>
    <w:rsid w:val="001B0965"/>
    <w:rsid w:val="001B1C4C"/>
    <w:rsid w:val="001B361A"/>
    <w:rsid w:val="001B38D0"/>
    <w:rsid w:val="001B3929"/>
    <w:rsid w:val="001B3DF1"/>
    <w:rsid w:val="001B4BCE"/>
    <w:rsid w:val="001B5361"/>
    <w:rsid w:val="001B7F9F"/>
    <w:rsid w:val="001C3ABE"/>
    <w:rsid w:val="001C3AE7"/>
    <w:rsid w:val="001C4418"/>
    <w:rsid w:val="001C5C38"/>
    <w:rsid w:val="001C6315"/>
    <w:rsid w:val="001C6581"/>
    <w:rsid w:val="001C6C4B"/>
    <w:rsid w:val="001C7C6A"/>
    <w:rsid w:val="001D2553"/>
    <w:rsid w:val="001D281F"/>
    <w:rsid w:val="001D498D"/>
    <w:rsid w:val="001D725E"/>
    <w:rsid w:val="001E02CA"/>
    <w:rsid w:val="001E0FA2"/>
    <w:rsid w:val="001E1014"/>
    <w:rsid w:val="001E173A"/>
    <w:rsid w:val="001E23E4"/>
    <w:rsid w:val="001E37E5"/>
    <w:rsid w:val="001E40BB"/>
    <w:rsid w:val="001E473C"/>
    <w:rsid w:val="001E588A"/>
    <w:rsid w:val="001E5A87"/>
    <w:rsid w:val="001E5EA1"/>
    <w:rsid w:val="001F5808"/>
    <w:rsid w:val="001F6B3E"/>
    <w:rsid w:val="001F7184"/>
    <w:rsid w:val="001F7D0D"/>
    <w:rsid w:val="00200537"/>
    <w:rsid w:val="00202186"/>
    <w:rsid w:val="00202DAC"/>
    <w:rsid w:val="002030EF"/>
    <w:rsid w:val="0020354F"/>
    <w:rsid w:val="00203615"/>
    <w:rsid w:val="00203A74"/>
    <w:rsid w:val="002111C3"/>
    <w:rsid w:val="00211477"/>
    <w:rsid w:val="00211F73"/>
    <w:rsid w:val="00215FEB"/>
    <w:rsid w:val="00220186"/>
    <w:rsid w:val="002207D3"/>
    <w:rsid w:val="00221AFB"/>
    <w:rsid w:val="00221B6E"/>
    <w:rsid w:val="002245E7"/>
    <w:rsid w:val="00226DC9"/>
    <w:rsid w:val="0022779F"/>
    <w:rsid w:val="00230810"/>
    <w:rsid w:val="00233525"/>
    <w:rsid w:val="0023370D"/>
    <w:rsid w:val="00234564"/>
    <w:rsid w:val="00240C14"/>
    <w:rsid w:val="00240C32"/>
    <w:rsid w:val="00241CEB"/>
    <w:rsid w:val="00242CA0"/>
    <w:rsid w:val="00243B53"/>
    <w:rsid w:val="0024489C"/>
    <w:rsid w:val="00246035"/>
    <w:rsid w:val="00247AC8"/>
    <w:rsid w:val="00250A18"/>
    <w:rsid w:val="00250DD1"/>
    <w:rsid w:val="00250EE9"/>
    <w:rsid w:val="00254D53"/>
    <w:rsid w:val="002551FF"/>
    <w:rsid w:val="002553F0"/>
    <w:rsid w:val="00255C58"/>
    <w:rsid w:val="00256327"/>
    <w:rsid w:val="00257176"/>
    <w:rsid w:val="00257E5C"/>
    <w:rsid w:val="002613B1"/>
    <w:rsid w:val="00261C43"/>
    <w:rsid w:val="00262983"/>
    <w:rsid w:val="002637D3"/>
    <w:rsid w:val="00265DAE"/>
    <w:rsid w:val="00267693"/>
    <w:rsid w:val="00271429"/>
    <w:rsid w:val="00271979"/>
    <w:rsid w:val="00271C33"/>
    <w:rsid w:val="00272BF3"/>
    <w:rsid w:val="00275BD3"/>
    <w:rsid w:val="00276B37"/>
    <w:rsid w:val="00276C5D"/>
    <w:rsid w:val="00276F51"/>
    <w:rsid w:val="002770EA"/>
    <w:rsid w:val="002777C5"/>
    <w:rsid w:val="0028323D"/>
    <w:rsid w:val="00285792"/>
    <w:rsid w:val="00285DC6"/>
    <w:rsid w:val="0029097F"/>
    <w:rsid w:val="002924A6"/>
    <w:rsid w:val="00293843"/>
    <w:rsid w:val="00293A7D"/>
    <w:rsid w:val="002942AF"/>
    <w:rsid w:val="00295A5B"/>
    <w:rsid w:val="00295CE0"/>
    <w:rsid w:val="00297E33"/>
    <w:rsid w:val="002A01BD"/>
    <w:rsid w:val="002A0A3A"/>
    <w:rsid w:val="002A152A"/>
    <w:rsid w:val="002A176C"/>
    <w:rsid w:val="002A27E7"/>
    <w:rsid w:val="002A2C27"/>
    <w:rsid w:val="002A4703"/>
    <w:rsid w:val="002A63FC"/>
    <w:rsid w:val="002A6D64"/>
    <w:rsid w:val="002A6E79"/>
    <w:rsid w:val="002A72C8"/>
    <w:rsid w:val="002A7E3B"/>
    <w:rsid w:val="002B0539"/>
    <w:rsid w:val="002B07A6"/>
    <w:rsid w:val="002B083C"/>
    <w:rsid w:val="002B109B"/>
    <w:rsid w:val="002B1AD0"/>
    <w:rsid w:val="002B283A"/>
    <w:rsid w:val="002B2AF6"/>
    <w:rsid w:val="002B2B37"/>
    <w:rsid w:val="002B2C9F"/>
    <w:rsid w:val="002B40DA"/>
    <w:rsid w:val="002B45DE"/>
    <w:rsid w:val="002B49D2"/>
    <w:rsid w:val="002B573E"/>
    <w:rsid w:val="002B6044"/>
    <w:rsid w:val="002B6D17"/>
    <w:rsid w:val="002C047C"/>
    <w:rsid w:val="002C13AA"/>
    <w:rsid w:val="002C1520"/>
    <w:rsid w:val="002C2409"/>
    <w:rsid w:val="002C56EC"/>
    <w:rsid w:val="002D0787"/>
    <w:rsid w:val="002D0CA9"/>
    <w:rsid w:val="002D267E"/>
    <w:rsid w:val="002D2C70"/>
    <w:rsid w:val="002D3410"/>
    <w:rsid w:val="002D44F5"/>
    <w:rsid w:val="002D4D1D"/>
    <w:rsid w:val="002D66AD"/>
    <w:rsid w:val="002D7C09"/>
    <w:rsid w:val="002E0C1F"/>
    <w:rsid w:val="002E2287"/>
    <w:rsid w:val="002E382E"/>
    <w:rsid w:val="002E42BB"/>
    <w:rsid w:val="002E4672"/>
    <w:rsid w:val="002E51D4"/>
    <w:rsid w:val="002E5722"/>
    <w:rsid w:val="002E6278"/>
    <w:rsid w:val="002E6B88"/>
    <w:rsid w:val="002E72DD"/>
    <w:rsid w:val="002E73F3"/>
    <w:rsid w:val="002E78A0"/>
    <w:rsid w:val="002F0E75"/>
    <w:rsid w:val="002F156A"/>
    <w:rsid w:val="002F202E"/>
    <w:rsid w:val="002F2B60"/>
    <w:rsid w:val="002F2C20"/>
    <w:rsid w:val="002F31C6"/>
    <w:rsid w:val="002F36F5"/>
    <w:rsid w:val="002F3DF1"/>
    <w:rsid w:val="002F60E6"/>
    <w:rsid w:val="002F6393"/>
    <w:rsid w:val="002F6488"/>
    <w:rsid w:val="002F7A6C"/>
    <w:rsid w:val="003002ED"/>
    <w:rsid w:val="00300AF9"/>
    <w:rsid w:val="0030461D"/>
    <w:rsid w:val="00305769"/>
    <w:rsid w:val="00306131"/>
    <w:rsid w:val="00306BA5"/>
    <w:rsid w:val="003103FC"/>
    <w:rsid w:val="0031508A"/>
    <w:rsid w:val="00316135"/>
    <w:rsid w:val="00316F0E"/>
    <w:rsid w:val="00317010"/>
    <w:rsid w:val="00317CC5"/>
    <w:rsid w:val="0032023D"/>
    <w:rsid w:val="00320869"/>
    <w:rsid w:val="00321546"/>
    <w:rsid w:val="0032259D"/>
    <w:rsid w:val="00323681"/>
    <w:rsid w:val="00323CE0"/>
    <w:rsid w:val="00324867"/>
    <w:rsid w:val="0032786C"/>
    <w:rsid w:val="003278DF"/>
    <w:rsid w:val="00327D01"/>
    <w:rsid w:val="003310AE"/>
    <w:rsid w:val="0033153A"/>
    <w:rsid w:val="00331762"/>
    <w:rsid w:val="003338AF"/>
    <w:rsid w:val="0033701A"/>
    <w:rsid w:val="0033704F"/>
    <w:rsid w:val="00342DCC"/>
    <w:rsid w:val="003437FA"/>
    <w:rsid w:val="00345058"/>
    <w:rsid w:val="00345F09"/>
    <w:rsid w:val="0034672F"/>
    <w:rsid w:val="0034755A"/>
    <w:rsid w:val="00350B56"/>
    <w:rsid w:val="00352681"/>
    <w:rsid w:val="003527B1"/>
    <w:rsid w:val="0035310C"/>
    <w:rsid w:val="003559D4"/>
    <w:rsid w:val="003562B5"/>
    <w:rsid w:val="00360A5A"/>
    <w:rsid w:val="00360BEA"/>
    <w:rsid w:val="00360CF6"/>
    <w:rsid w:val="00360DF3"/>
    <w:rsid w:val="003621A3"/>
    <w:rsid w:val="0036284E"/>
    <w:rsid w:val="00362FD3"/>
    <w:rsid w:val="0036363E"/>
    <w:rsid w:val="00364833"/>
    <w:rsid w:val="00364B4F"/>
    <w:rsid w:val="00365942"/>
    <w:rsid w:val="0036623E"/>
    <w:rsid w:val="00366EA7"/>
    <w:rsid w:val="00367FC3"/>
    <w:rsid w:val="00370B2F"/>
    <w:rsid w:val="00370C41"/>
    <w:rsid w:val="00374D20"/>
    <w:rsid w:val="00376BDD"/>
    <w:rsid w:val="003811C0"/>
    <w:rsid w:val="00381CF2"/>
    <w:rsid w:val="00381FD9"/>
    <w:rsid w:val="0038202B"/>
    <w:rsid w:val="00382B49"/>
    <w:rsid w:val="00384A43"/>
    <w:rsid w:val="00384DEC"/>
    <w:rsid w:val="003867B5"/>
    <w:rsid w:val="00386F8C"/>
    <w:rsid w:val="00392945"/>
    <w:rsid w:val="00393AFE"/>
    <w:rsid w:val="0039438F"/>
    <w:rsid w:val="0039453B"/>
    <w:rsid w:val="00395BFA"/>
    <w:rsid w:val="003960F0"/>
    <w:rsid w:val="00396377"/>
    <w:rsid w:val="00397696"/>
    <w:rsid w:val="00397A40"/>
    <w:rsid w:val="003A2C90"/>
    <w:rsid w:val="003A416C"/>
    <w:rsid w:val="003A4240"/>
    <w:rsid w:val="003A49E4"/>
    <w:rsid w:val="003A4CE5"/>
    <w:rsid w:val="003A54C0"/>
    <w:rsid w:val="003A6865"/>
    <w:rsid w:val="003B00DE"/>
    <w:rsid w:val="003B08E8"/>
    <w:rsid w:val="003B0AB7"/>
    <w:rsid w:val="003B0B97"/>
    <w:rsid w:val="003B1588"/>
    <w:rsid w:val="003B28DB"/>
    <w:rsid w:val="003B385C"/>
    <w:rsid w:val="003B4CB8"/>
    <w:rsid w:val="003B523C"/>
    <w:rsid w:val="003B56EF"/>
    <w:rsid w:val="003B6410"/>
    <w:rsid w:val="003B66F6"/>
    <w:rsid w:val="003B6BBB"/>
    <w:rsid w:val="003B720F"/>
    <w:rsid w:val="003B7B73"/>
    <w:rsid w:val="003B7C49"/>
    <w:rsid w:val="003B7CD4"/>
    <w:rsid w:val="003B7F3A"/>
    <w:rsid w:val="003C0554"/>
    <w:rsid w:val="003C08F8"/>
    <w:rsid w:val="003C198A"/>
    <w:rsid w:val="003C227B"/>
    <w:rsid w:val="003C34F2"/>
    <w:rsid w:val="003C55CE"/>
    <w:rsid w:val="003C5CB1"/>
    <w:rsid w:val="003C655C"/>
    <w:rsid w:val="003D06CB"/>
    <w:rsid w:val="003D2AB5"/>
    <w:rsid w:val="003D356D"/>
    <w:rsid w:val="003D4331"/>
    <w:rsid w:val="003D441F"/>
    <w:rsid w:val="003D4D06"/>
    <w:rsid w:val="003D521C"/>
    <w:rsid w:val="003D6692"/>
    <w:rsid w:val="003D695D"/>
    <w:rsid w:val="003D710C"/>
    <w:rsid w:val="003D7329"/>
    <w:rsid w:val="003E0596"/>
    <w:rsid w:val="003E335A"/>
    <w:rsid w:val="003E5FBC"/>
    <w:rsid w:val="003E62DF"/>
    <w:rsid w:val="003E6D96"/>
    <w:rsid w:val="003E70D3"/>
    <w:rsid w:val="003E72E9"/>
    <w:rsid w:val="003E7CF5"/>
    <w:rsid w:val="003F099E"/>
    <w:rsid w:val="003F362C"/>
    <w:rsid w:val="0040098D"/>
    <w:rsid w:val="00400CDE"/>
    <w:rsid w:val="0040293F"/>
    <w:rsid w:val="00402D99"/>
    <w:rsid w:val="00403BA3"/>
    <w:rsid w:val="00404CF3"/>
    <w:rsid w:val="00405595"/>
    <w:rsid w:val="0040562B"/>
    <w:rsid w:val="00405661"/>
    <w:rsid w:val="004060B7"/>
    <w:rsid w:val="00410DAC"/>
    <w:rsid w:val="004128CF"/>
    <w:rsid w:val="004132D4"/>
    <w:rsid w:val="0041497E"/>
    <w:rsid w:val="0041528E"/>
    <w:rsid w:val="0041678E"/>
    <w:rsid w:val="004170A8"/>
    <w:rsid w:val="0042097F"/>
    <w:rsid w:val="00422401"/>
    <w:rsid w:val="0042703B"/>
    <w:rsid w:val="004340BE"/>
    <w:rsid w:val="00434475"/>
    <w:rsid w:val="00435DD2"/>
    <w:rsid w:val="00436209"/>
    <w:rsid w:val="004364B0"/>
    <w:rsid w:val="00437148"/>
    <w:rsid w:val="004377BA"/>
    <w:rsid w:val="00437A6F"/>
    <w:rsid w:val="00437F5E"/>
    <w:rsid w:val="00442857"/>
    <w:rsid w:val="00442F1B"/>
    <w:rsid w:val="00443387"/>
    <w:rsid w:val="00445347"/>
    <w:rsid w:val="00445350"/>
    <w:rsid w:val="00447BB0"/>
    <w:rsid w:val="00447D2F"/>
    <w:rsid w:val="00447F4A"/>
    <w:rsid w:val="004505C2"/>
    <w:rsid w:val="00450622"/>
    <w:rsid w:val="00452675"/>
    <w:rsid w:val="00457E0C"/>
    <w:rsid w:val="004608C9"/>
    <w:rsid w:val="00461E65"/>
    <w:rsid w:val="0046507E"/>
    <w:rsid w:val="0046585B"/>
    <w:rsid w:val="00465C09"/>
    <w:rsid w:val="00465D1F"/>
    <w:rsid w:val="00466312"/>
    <w:rsid w:val="004669B3"/>
    <w:rsid w:val="00470206"/>
    <w:rsid w:val="004724AA"/>
    <w:rsid w:val="004725FE"/>
    <w:rsid w:val="00474584"/>
    <w:rsid w:val="00476B9B"/>
    <w:rsid w:val="004804CB"/>
    <w:rsid w:val="0048050B"/>
    <w:rsid w:val="004816F9"/>
    <w:rsid w:val="00481941"/>
    <w:rsid w:val="00484F10"/>
    <w:rsid w:val="0048650D"/>
    <w:rsid w:val="00490ADA"/>
    <w:rsid w:val="00491336"/>
    <w:rsid w:val="00492733"/>
    <w:rsid w:val="00492EDF"/>
    <w:rsid w:val="0049512E"/>
    <w:rsid w:val="004966CF"/>
    <w:rsid w:val="004A0749"/>
    <w:rsid w:val="004A0F8E"/>
    <w:rsid w:val="004A3505"/>
    <w:rsid w:val="004A382E"/>
    <w:rsid w:val="004A79AD"/>
    <w:rsid w:val="004B193B"/>
    <w:rsid w:val="004B1A7F"/>
    <w:rsid w:val="004B2B25"/>
    <w:rsid w:val="004B4D9F"/>
    <w:rsid w:val="004B4FC4"/>
    <w:rsid w:val="004C06E8"/>
    <w:rsid w:val="004C20C1"/>
    <w:rsid w:val="004C34BF"/>
    <w:rsid w:val="004C4154"/>
    <w:rsid w:val="004C41D1"/>
    <w:rsid w:val="004C56EF"/>
    <w:rsid w:val="004C6107"/>
    <w:rsid w:val="004C78AC"/>
    <w:rsid w:val="004C7A74"/>
    <w:rsid w:val="004D1AE2"/>
    <w:rsid w:val="004D1B06"/>
    <w:rsid w:val="004D2DD2"/>
    <w:rsid w:val="004D3BA6"/>
    <w:rsid w:val="004D3CEA"/>
    <w:rsid w:val="004D4077"/>
    <w:rsid w:val="004D44D2"/>
    <w:rsid w:val="004E0600"/>
    <w:rsid w:val="004E21E3"/>
    <w:rsid w:val="004E25D8"/>
    <w:rsid w:val="004E2DED"/>
    <w:rsid w:val="004E3E08"/>
    <w:rsid w:val="004E4477"/>
    <w:rsid w:val="004E6645"/>
    <w:rsid w:val="004F162F"/>
    <w:rsid w:val="004F3B4D"/>
    <w:rsid w:val="004F63A6"/>
    <w:rsid w:val="004F7A04"/>
    <w:rsid w:val="004F7B25"/>
    <w:rsid w:val="00500712"/>
    <w:rsid w:val="00500B58"/>
    <w:rsid w:val="00500D26"/>
    <w:rsid w:val="00501313"/>
    <w:rsid w:val="0050217B"/>
    <w:rsid w:val="005047ED"/>
    <w:rsid w:val="005053FA"/>
    <w:rsid w:val="005056C8"/>
    <w:rsid w:val="0051080D"/>
    <w:rsid w:val="00514035"/>
    <w:rsid w:val="005144FC"/>
    <w:rsid w:val="00514C50"/>
    <w:rsid w:val="00515A69"/>
    <w:rsid w:val="00516106"/>
    <w:rsid w:val="00516CDA"/>
    <w:rsid w:val="005173D3"/>
    <w:rsid w:val="00520ED5"/>
    <w:rsid w:val="00521BC7"/>
    <w:rsid w:val="0052233E"/>
    <w:rsid w:val="0052375F"/>
    <w:rsid w:val="00525288"/>
    <w:rsid w:val="00526942"/>
    <w:rsid w:val="00526C0B"/>
    <w:rsid w:val="00527499"/>
    <w:rsid w:val="00533285"/>
    <w:rsid w:val="0053463D"/>
    <w:rsid w:val="00535252"/>
    <w:rsid w:val="00535A6E"/>
    <w:rsid w:val="005404D8"/>
    <w:rsid w:val="00541AF2"/>
    <w:rsid w:val="00541EEF"/>
    <w:rsid w:val="00541FFA"/>
    <w:rsid w:val="00542423"/>
    <w:rsid w:val="00542DB1"/>
    <w:rsid w:val="0054393A"/>
    <w:rsid w:val="00543B72"/>
    <w:rsid w:val="00546911"/>
    <w:rsid w:val="00546F99"/>
    <w:rsid w:val="00550AC4"/>
    <w:rsid w:val="005511DF"/>
    <w:rsid w:val="00551580"/>
    <w:rsid w:val="00552C46"/>
    <w:rsid w:val="0055317E"/>
    <w:rsid w:val="00554165"/>
    <w:rsid w:val="005548BD"/>
    <w:rsid w:val="005550FA"/>
    <w:rsid w:val="00555849"/>
    <w:rsid w:val="00556602"/>
    <w:rsid w:val="00557B4F"/>
    <w:rsid w:val="0056197A"/>
    <w:rsid w:val="005622B5"/>
    <w:rsid w:val="00562997"/>
    <w:rsid w:val="00564015"/>
    <w:rsid w:val="00566563"/>
    <w:rsid w:val="005668F7"/>
    <w:rsid w:val="00567087"/>
    <w:rsid w:val="00567810"/>
    <w:rsid w:val="00570A84"/>
    <w:rsid w:val="005715F1"/>
    <w:rsid w:val="00571EE7"/>
    <w:rsid w:val="0057263A"/>
    <w:rsid w:val="00572660"/>
    <w:rsid w:val="00573CF0"/>
    <w:rsid w:val="00574A21"/>
    <w:rsid w:val="00574BA8"/>
    <w:rsid w:val="00574F93"/>
    <w:rsid w:val="00575873"/>
    <w:rsid w:val="00580650"/>
    <w:rsid w:val="00580D22"/>
    <w:rsid w:val="0058156B"/>
    <w:rsid w:val="00581ECD"/>
    <w:rsid w:val="00583487"/>
    <w:rsid w:val="005854C6"/>
    <w:rsid w:val="0058593D"/>
    <w:rsid w:val="00586176"/>
    <w:rsid w:val="00587261"/>
    <w:rsid w:val="0059241F"/>
    <w:rsid w:val="00592F20"/>
    <w:rsid w:val="005936F6"/>
    <w:rsid w:val="00593E03"/>
    <w:rsid w:val="005A0176"/>
    <w:rsid w:val="005A04CC"/>
    <w:rsid w:val="005A4316"/>
    <w:rsid w:val="005A5596"/>
    <w:rsid w:val="005A5703"/>
    <w:rsid w:val="005A7D31"/>
    <w:rsid w:val="005B1CF6"/>
    <w:rsid w:val="005B1E79"/>
    <w:rsid w:val="005B42A1"/>
    <w:rsid w:val="005C087B"/>
    <w:rsid w:val="005C21C1"/>
    <w:rsid w:val="005C541F"/>
    <w:rsid w:val="005C6198"/>
    <w:rsid w:val="005C70F1"/>
    <w:rsid w:val="005C778F"/>
    <w:rsid w:val="005D0F7E"/>
    <w:rsid w:val="005D16C2"/>
    <w:rsid w:val="005D2B54"/>
    <w:rsid w:val="005D3601"/>
    <w:rsid w:val="005D3AFA"/>
    <w:rsid w:val="005D5E84"/>
    <w:rsid w:val="005E3BD8"/>
    <w:rsid w:val="005E3D5D"/>
    <w:rsid w:val="005E4EDF"/>
    <w:rsid w:val="005E6F2C"/>
    <w:rsid w:val="005E7669"/>
    <w:rsid w:val="005E78B8"/>
    <w:rsid w:val="005E7CE4"/>
    <w:rsid w:val="005E7E05"/>
    <w:rsid w:val="005F0DED"/>
    <w:rsid w:val="005F10BD"/>
    <w:rsid w:val="005F17BD"/>
    <w:rsid w:val="005F1BE6"/>
    <w:rsid w:val="005F3E0E"/>
    <w:rsid w:val="005F47B1"/>
    <w:rsid w:val="005F47BD"/>
    <w:rsid w:val="005F5F76"/>
    <w:rsid w:val="005F68BB"/>
    <w:rsid w:val="005F6BB8"/>
    <w:rsid w:val="005F7C2D"/>
    <w:rsid w:val="00600FD0"/>
    <w:rsid w:val="006019C9"/>
    <w:rsid w:val="00604761"/>
    <w:rsid w:val="0060477E"/>
    <w:rsid w:val="00604904"/>
    <w:rsid w:val="00605980"/>
    <w:rsid w:val="00606DB6"/>
    <w:rsid w:val="00607137"/>
    <w:rsid w:val="006101E5"/>
    <w:rsid w:val="00610248"/>
    <w:rsid w:val="00612699"/>
    <w:rsid w:val="00613C85"/>
    <w:rsid w:val="00616426"/>
    <w:rsid w:val="00616F22"/>
    <w:rsid w:val="006173FB"/>
    <w:rsid w:val="00617B65"/>
    <w:rsid w:val="00620E46"/>
    <w:rsid w:val="006213FF"/>
    <w:rsid w:val="006215A5"/>
    <w:rsid w:val="00624486"/>
    <w:rsid w:val="006245EC"/>
    <w:rsid w:val="00624DF3"/>
    <w:rsid w:val="00625774"/>
    <w:rsid w:val="00626261"/>
    <w:rsid w:val="006302E9"/>
    <w:rsid w:val="00632151"/>
    <w:rsid w:val="006326A8"/>
    <w:rsid w:val="006326BD"/>
    <w:rsid w:val="0063347D"/>
    <w:rsid w:val="00633A33"/>
    <w:rsid w:val="00633F38"/>
    <w:rsid w:val="00633F51"/>
    <w:rsid w:val="0063463A"/>
    <w:rsid w:val="006348F9"/>
    <w:rsid w:val="00645039"/>
    <w:rsid w:val="00650BD7"/>
    <w:rsid w:val="006522C4"/>
    <w:rsid w:val="00652C88"/>
    <w:rsid w:val="0065325F"/>
    <w:rsid w:val="006544BD"/>
    <w:rsid w:val="0065779D"/>
    <w:rsid w:val="00660BD8"/>
    <w:rsid w:val="006610F5"/>
    <w:rsid w:val="00662C6A"/>
    <w:rsid w:val="00662FD0"/>
    <w:rsid w:val="00664A25"/>
    <w:rsid w:val="00665B32"/>
    <w:rsid w:val="00670D5E"/>
    <w:rsid w:val="006718A8"/>
    <w:rsid w:val="00671DD9"/>
    <w:rsid w:val="00673E88"/>
    <w:rsid w:val="00674587"/>
    <w:rsid w:val="00675FF4"/>
    <w:rsid w:val="006762C6"/>
    <w:rsid w:val="0067696A"/>
    <w:rsid w:val="00677670"/>
    <w:rsid w:val="006778BD"/>
    <w:rsid w:val="00677BF2"/>
    <w:rsid w:val="00680774"/>
    <w:rsid w:val="0068223C"/>
    <w:rsid w:val="006836B1"/>
    <w:rsid w:val="0068370F"/>
    <w:rsid w:val="00684305"/>
    <w:rsid w:val="00685B60"/>
    <w:rsid w:val="006862DB"/>
    <w:rsid w:val="00686E02"/>
    <w:rsid w:val="0068797F"/>
    <w:rsid w:val="00690C0A"/>
    <w:rsid w:val="006914EB"/>
    <w:rsid w:val="00691ACD"/>
    <w:rsid w:val="00691DD4"/>
    <w:rsid w:val="00692ABE"/>
    <w:rsid w:val="00693459"/>
    <w:rsid w:val="00693B59"/>
    <w:rsid w:val="00693B7F"/>
    <w:rsid w:val="006949F9"/>
    <w:rsid w:val="00695BFB"/>
    <w:rsid w:val="00696756"/>
    <w:rsid w:val="00696895"/>
    <w:rsid w:val="006A0699"/>
    <w:rsid w:val="006A134A"/>
    <w:rsid w:val="006A170A"/>
    <w:rsid w:val="006A1E9D"/>
    <w:rsid w:val="006A3CD2"/>
    <w:rsid w:val="006A411C"/>
    <w:rsid w:val="006A5571"/>
    <w:rsid w:val="006A5D12"/>
    <w:rsid w:val="006A6A31"/>
    <w:rsid w:val="006A7173"/>
    <w:rsid w:val="006A7C86"/>
    <w:rsid w:val="006B22DB"/>
    <w:rsid w:val="006B2E84"/>
    <w:rsid w:val="006B45D5"/>
    <w:rsid w:val="006B6A9C"/>
    <w:rsid w:val="006C0B55"/>
    <w:rsid w:val="006C0C53"/>
    <w:rsid w:val="006C0F47"/>
    <w:rsid w:val="006C1320"/>
    <w:rsid w:val="006C1570"/>
    <w:rsid w:val="006C16F2"/>
    <w:rsid w:val="006C2A9D"/>
    <w:rsid w:val="006C2D02"/>
    <w:rsid w:val="006C342C"/>
    <w:rsid w:val="006C3B24"/>
    <w:rsid w:val="006C3C2D"/>
    <w:rsid w:val="006C4971"/>
    <w:rsid w:val="006C4DE4"/>
    <w:rsid w:val="006C6948"/>
    <w:rsid w:val="006C753C"/>
    <w:rsid w:val="006C78DE"/>
    <w:rsid w:val="006D13FA"/>
    <w:rsid w:val="006D1C9A"/>
    <w:rsid w:val="006E025E"/>
    <w:rsid w:val="006E049E"/>
    <w:rsid w:val="006E2919"/>
    <w:rsid w:val="006E474B"/>
    <w:rsid w:val="006E693D"/>
    <w:rsid w:val="006E7F6F"/>
    <w:rsid w:val="006F00EF"/>
    <w:rsid w:val="006F21B9"/>
    <w:rsid w:val="006F238C"/>
    <w:rsid w:val="006F34E4"/>
    <w:rsid w:val="006F5645"/>
    <w:rsid w:val="006F5EF7"/>
    <w:rsid w:val="006F6891"/>
    <w:rsid w:val="006F6F7A"/>
    <w:rsid w:val="006F7FCD"/>
    <w:rsid w:val="006F7FD3"/>
    <w:rsid w:val="007036A8"/>
    <w:rsid w:val="007040C0"/>
    <w:rsid w:val="00706584"/>
    <w:rsid w:val="007065ED"/>
    <w:rsid w:val="0070762C"/>
    <w:rsid w:val="007111EF"/>
    <w:rsid w:val="0071146F"/>
    <w:rsid w:val="0071228E"/>
    <w:rsid w:val="007129D9"/>
    <w:rsid w:val="007133A7"/>
    <w:rsid w:val="00713543"/>
    <w:rsid w:val="007153C5"/>
    <w:rsid w:val="007159D2"/>
    <w:rsid w:val="00715C3C"/>
    <w:rsid w:val="00716DB9"/>
    <w:rsid w:val="0072048D"/>
    <w:rsid w:val="007215CA"/>
    <w:rsid w:val="00722A6C"/>
    <w:rsid w:val="00722B36"/>
    <w:rsid w:val="00725464"/>
    <w:rsid w:val="007306B7"/>
    <w:rsid w:val="00730E3A"/>
    <w:rsid w:val="00730F12"/>
    <w:rsid w:val="00731662"/>
    <w:rsid w:val="00733DAC"/>
    <w:rsid w:val="00734C7F"/>
    <w:rsid w:val="00735487"/>
    <w:rsid w:val="00737F4B"/>
    <w:rsid w:val="00740302"/>
    <w:rsid w:val="0074098E"/>
    <w:rsid w:val="007447F6"/>
    <w:rsid w:val="00747476"/>
    <w:rsid w:val="00750352"/>
    <w:rsid w:val="00752DA1"/>
    <w:rsid w:val="0075315F"/>
    <w:rsid w:val="007538EB"/>
    <w:rsid w:val="007566BD"/>
    <w:rsid w:val="00757651"/>
    <w:rsid w:val="00760C1E"/>
    <w:rsid w:val="0076127E"/>
    <w:rsid w:val="00762627"/>
    <w:rsid w:val="00763907"/>
    <w:rsid w:val="00763B15"/>
    <w:rsid w:val="007645D4"/>
    <w:rsid w:val="00764BC4"/>
    <w:rsid w:val="00766008"/>
    <w:rsid w:val="00766657"/>
    <w:rsid w:val="00766CC1"/>
    <w:rsid w:val="00766D92"/>
    <w:rsid w:val="00767EFF"/>
    <w:rsid w:val="0077220E"/>
    <w:rsid w:val="007741FD"/>
    <w:rsid w:val="007742CA"/>
    <w:rsid w:val="00774772"/>
    <w:rsid w:val="00776BEE"/>
    <w:rsid w:val="007808D2"/>
    <w:rsid w:val="00780C6D"/>
    <w:rsid w:val="00783CDA"/>
    <w:rsid w:val="00784C9F"/>
    <w:rsid w:val="00785A33"/>
    <w:rsid w:val="00785F50"/>
    <w:rsid w:val="007871F0"/>
    <w:rsid w:val="00790555"/>
    <w:rsid w:val="0079234F"/>
    <w:rsid w:val="00795DEE"/>
    <w:rsid w:val="00796108"/>
    <w:rsid w:val="00796F2F"/>
    <w:rsid w:val="00797211"/>
    <w:rsid w:val="007973A2"/>
    <w:rsid w:val="007974DB"/>
    <w:rsid w:val="007A0B42"/>
    <w:rsid w:val="007A123E"/>
    <w:rsid w:val="007A1AEE"/>
    <w:rsid w:val="007A475F"/>
    <w:rsid w:val="007A598D"/>
    <w:rsid w:val="007A5F83"/>
    <w:rsid w:val="007A6E0B"/>
    <w:rsid w:val="007A794D"/>
    <w:rsid w:val="007B05EB"/>
    <w:rsid w:val="007B3DD9"/>
    <w:rsid w:val="007B4DB7"/>
    <w:rsid w:val="007B539F"/>
    <w:rsid w:val="007B5C1F"/>
    <w:rsid w:val="007B7413"/>
    <w:rsid w:val="007B796B"/>
    <w:rsid w:val="007C075F"/>
    <w:rsid w:val="007C07CE"/>
    <w:rsid w:val="007C0F74"/>
    <w:rsid w:val="007C1706"/>
    <w:rsid w:val="007C1A45"/>
    <w:rsid w:val="007C3B58"/>
    <w:rsid w:val="007C5930"/>
    <w:rsid w:val="007C5A79"/>
    <w:rsid w:val="007C6545"/>
    <w:rsid w:val="007D0DD0"/>
    <w:rsid w:val="007D1777"/>
    <w:rsid w:val="007D26EF"/>
    <w:rsid w:val="007D3024"/>
    <w:rsid w:val="007D5BAA"/>
    <w:rsid w:val="007D6D93"/>
    <w:rsid w:val="007E28D8"/>
    <w:rsid w:val="007E5349"/>
    <w:rsid w:val="007E63C4"/>
    <w:rsid w:val="007F061C"/>
    <w:rsid w:val="007F0DDB"/>
    <w:rsid w:val="007F15B0"/>
    <w:rsid w:val="007F565B"/>
    <w:rsid w:val="00800E68"/>
    <w:rsid w:val="00801258"/>
    <w:rsid w:val="008018B2"/>
    <w:rsid w:val="0080416C"/>
    <w:rsid w:val="0081014F"/>
    <w:rsid w:val="008153E6"/>
    <w:rsid w:val="00816DD4"/>
    <w:rsid w:val="008205BC"/>
    <w:rsid w:val="008221EF"/>
    <w:rsid w:val="0082249F"/>
    <w:rsid w:val="00822C2D"/>
    <w:rsid w:val="00823245"/>
    <w:rsid w:val="00825338"/>
    <w:rsid w:val="0082557A"/>
    <w:rsid w:val="00825A56"/>
    <w:rsid w:val="008273A3"/>
    <w:rsid w:val="0082793F"/>
    <w:rsid w:val="00834AE2"/>
    <w:rsid w:val="00834C23"/>
    <w:rsid w:val="008356B4"/>
    <w:rsid w:val="00836A1B"/>
    <w:rsid w:val="00837C43"/>
    <w:rsid w:val="00840369"/>
    <w:rsid w:val="0084094E"/>
    <w:rsid w:val="0084125B"/>
    <w:rsid w:val="00841C8F"/>
    <w:rsid w:val="00842641"/>
    <w:rsid w:val="008443FC"/>
    <w:rsid w:val="00844651"/>
    <w:rsid w:val="008458DB"/>
    <w:rsid w:val="00846422"/>
    <w:rsid w:val="0084790A"/>
    <w:rsid w:val="008509CB"/>
    <w:rsid w:val="00850B72"/>
    <w:rsid w:val="00851376"/>
    <w:rsid w:val="00852289"/>
    <w:rsid w:val="008522DC"/>
    <w:rsid w:val="00852FD8"/>
    <w:rsid w:val="00854F33"/>
    <w:rsid w:val="008600D2"/>
    <w:rsid w:val="008607D2"/>
    <w:rsid w:val="00863A76"/>
    <w:rsid w:val="00867351"/>
    <w:rsid w:val="00867975"/>
    <w:rsid w:val="0087040B"/>
    <w:rsid w:val="00870536"/>
    <w:rsid w:val="00870888"/>
    <w:rsid w:val="0087112D"/>
    <w:rsid w:val="00874F1A"/>
    <w:rsid w:val="00875BE5"/>
    <w:rsid w:val="00875DAE"/>
    <w:rsid w:val="008762F6"/>
    <w:rsid w:val="0087671E"/>
    <w:rsid w:val="0087674E"/>
    <w:rsid w:val="00880649"/>
    <w:rsid w:val="008830D3"/>
    <w:rsid w:val="0088462E"/>
    <w:rsid w:val="00884711"/>
    <w:rsid w:val="00884920"/>
    <w:rsid w:val="00884B09"/>
    <w:rsid w:val="0088521A"/>
    <w:rsid w:val="008856E2"/>
    <w:rsid w:val="00885F59"/>
    <w:rsid w:val="00886D8E"/>
    <w:rsid w:val="008877E6"/>
    <w:rsid w:val="00891EF1"/>
    <w:rsid w:val="0089265F"/>
    <w:rsid w:val="00892A25"/>
    <w:rsid w:val="00892DAA"/>
    <w:rsid w:val="008931D4"/>
    <w:rsid w:val="0089550D"/>
    <w:rsid w:val="0089715B"/>
    <w:rsid w:val="008A1A64"/>
    <w:rsid w:val="008A2590"/>
    <w:rsid w:val="008A5D72"/>
    <w:rsid w:val="008B0ABF"/>
    <w:rsid w:val="008B1527"/>
    <w:rsid w:val="008B1740"/>
    <w:rsid w:val="008B18BE"/>
    <w:rsid w:val="008B3BFA"/>
    <w:rsid w:val="008B3C24"/>
    <w:rsid w:val="008B4CEC"/>
    <w:rsid w:val="008B5D73"/>
    <w:rsid w:val="008B5F98"/>
    <w:rsid w:val="008B6D93"/>
    <w:rsid w:val="008C1484"/>
    <w:rsid w:val="008C324D"/>
    <w:rsid w:val="008C650B"/>
    <w:rsid w:val="008C69EF"/>
    <w:rsid w:val="008C6A97"/>
    <w:rsid w:val="008C7621"/>
    <w:rsid w:val="008D000E"/>
    <w:rsid w:val="008D250C"/>
    <w:rsid w:val="008D2F65"/>
    <w:rsid w:val="008D3959"/>
    <w:rsid w:val="008D412F"/>
    <w:rsid w:val="008D5DBD"/>
    <w:rsid w:val="008D5ECB"/>
    <w:rsid w:val="008D6098"/>
    <w:rsid w:val="008D7538"/>
    <w:rsid w:val="008E180C"/>
    <w:rsid w:val="008E1989"/>
    <w:rsid w:val="008E1C9C"/>
    <w:rsid w:val="008E3731"/>
    <w:rsid w:val="008E6355"/>
    <w:rsid w:val="008E6F4F"/>
    <w:rsid w:val="008F0468"/>
    <w:rsid w:val="008F0B83"/>
    <w:rsid w:val="008F0F00"/>
    <w:rsid w:val="008F1240"/>
    <w:rsid w:val="008F1FC4"/>
    <w:rsid w:val="008F2871"/>
    <w:rsid w:val="008F2946"/>
    <w:rsid w:val="008F3B80"/>
    <w:rsid w:val="008F4879"/>
    <w:rsid w:val="008F53E1"/>
    <w:rsid w:val="008F5675"/>
    <w:rsid w:val="008F6A62"/>
    <w:rsid w:val="008F6F5B"/>
    <w:rsid w:val="008F722B"/>
    <w:rsid w:val="008F7AB6"/>
    <w:rsid w:val="00901334"/>
    <w:rsid w:val="009037AC"/>
    <w:rsid w:val="00904530"/>
    <w:rsid w:val="00906387"/>
    <w:rsid w:val="009075A7"/>
    <w:rsid w:val="00907D86"/>
    <w:rsid w:val="00907E3F"/>
    <w:rsid w:val="009103CB"/>
    <w:rsid w:val="00911B63"/>
    <w:rsid w:val="00911D71"/>
    <w:rsid w:val="009126DC"/>
    <w:rsid w:val="00912B07"/>
    <w:rsid w:val="009139C8"/>
    <w:rsid w:val="009155D4"/>
    <w:rsid w:val="00915FAD"/>
    <w:rsid w:val="00920A09"/>
    <w:rsid w:val="00920CAE"/>
    <w:rsid w:val="00921D19"/>
    <w:rsid w:val="00921E9A"/>
    <w:rsid w:val="009225EA"/>
    <w:rsid w:val="00923A1C"/>
    <w:rsid w:val="00923CBA"/>
    <w:rsid w:val="009240C9"/>
    <w:rsid w:val="009267C8"/>
    <w:rsid w:val="00926CDB"/>
    <w:rsid w:val="00927F7F"/>
    <w:rsid w:val="0093000B"/>
    <w:rsid w:val="0093358C"/>
    <w:rsid w:val="00933E15"/>
    <w:rsid w:val="00933F8B"/>
    <w:rsid w:val="0093421B"/>
    <w:rsid w:val="00934E05"/>
    <w:rsid w:val="0093506C"/>
    <w:rsid w:val="00935963"/>
    <w:rsid w:val="00936E06"/>
    <w:rsid w:val="0094055C"/>
    <w:rsid w:val="00941059"/>
    <w:rsid w:val="00941238"/>
    <w:rsid w:val="0094136E"/>
    <w:rsid w:val="00942309"/>
    <w:rsid w:val="009425EF"/>
    <w:rsid w:val="00942660"/>
    <w:rsid w:val="009435F3"/>
    <w:rsid w:val="009442F3"/>
    <w:rsid w:val="009457B0"/>
    <w:rsid w:val="009472B2"/>
    <w:rsid w:val="009474A1"/>
    <w:rsid w:val="00950456"/>
    <w:rsid w:val="009510E4"/>
    <w:rsid w:val="00951A81"/>
    <w:rsid w:val="009536C7"/>
    <w:rsid w:val="00954266"/>
    <w:rsid w:val="009546BB"/>
    <w:rsid w:val="00955C51"/>
    <w:rsid w:val="00956636"/>
    <w:rsid w:val="00956F35"/>
    <w:rsid w:val="00962BFD"/>
    <w:rsid w:val="0096350B"/>
    <w:rsid w:val="00965892"/>
    <w:rsid w:val="00966200"/>
    <w:rsid w:val="00970E1C"/>
    <w:rsid w:val="0097228B"/>
    <w:rsid w:val="009729A0"/>
    <w:rsid w:val="00973460"/>
    <w:rsid w:val="00973E8B"/>
    <w:rsid w:val="0097473F"/>
    <w:rsid w:val="009748FB"/>
    <w:rsid w:val="009752E0"/>
    <w:rsid w:val="00975539"/>
    <w:rsid w:val="00980A07"/>
    <w:rsid w:val="009832E6"/>
    <w:rsid w:val="00983913"/>
    <w:rsid w:val="009841D2"/>
    <w:rsid w:val="00985872"/>
    <w:rsid w:val="00986225"/>
    <w:rsid w:val="00986639"/>
    <w:rsid w:val="00987D01"/>
    <w:rsid w:val="00990345"/>
    <w:rsid w:val="00991FA3"/>
    <w:rsid w:val="009938BD"/>
    <w:rsid w:val="00994BBB"/>
    <w:rsid w:val="00995129"/>
    <w:rsid w:val="00995C64"/>
    <w:rsid w:val="009A1BB3"/>
    <w:rsid w:val="009A1C82"/>
    <w:rsid w:val="009A22D0"/>
    <w:rsid w:val="009A4335"/>
    <w:rsid w:val="009A4B33"/>
    <w:rsid w:val="009A7886"/>
    <w:rsid w:val="009A7FC4"/>
    <w:rsid w:val="009B06C5"/>
    <w:rsid w:val="009B2B1C"/>
    <w:rsid w:val="009B3F39"/>
    <w:rsid w:val="009B466C"/>
    <w:rsid w:val="009B46E4"/>
    <w:rsid w:val="009B4B09"/>
    <w:rsid w:val="009B6FAB"/>
    <w:rsid w:val="009C0D6E"/>
    <w:rsid w:val="009C2856"/>
    <w:rsid w:val="009C3CF5"/>
    <w:rsid w:val="009C5288"/>
    <w:rsid w:val="009C5613"/>
    <w:rsid w:val="009C6EFA"/>
    <w:rsid w:val="009C7189"/>
    <w:rsid w:val="009C725A"/>
    <w:rsid w:val="009D041E"/>
    <w:rsid w:val="009D07DE"/>
    <w:rsid w:val="009D0FD8"/>
    <w:rsid w:val="009D2A46"/>
    <w:rsid w:val="009D3C7A"/>
    <w:rsid w:val="009D404C"/>
    <w:rsid w:val="009E13A1"/>
    <w:rsid w:val="009E4952"/>
    <w:rsid w:val="009F0789"/>
    <w:rsid w:val="009F0CBC"/>
    <w:rsid w:val="009F1472"/>
    <w:rsid w:val="009F3F6A"/>
    <w:rsid w:val="009F4221"/>
    <w:rsid w:val="009F56FD"/>
    <w:rsid w:val="009F59E0"/>
    <w:rsid w:val="009F6058"/>
    <w:rsid w:val="009F6EEA"/>
    <w:rsid w:val="009F74EE"/>
    <w:rsid w:val="009F780C"/>
    <w:rsid w:val="009F7CF4"/>
    <w:rsid w:val="00A007A1"/>
    <w:rsid w:val="00A03592"/>
    <w:rsid w:val="00A039D3"/>
    <w:rsid w:val="00A04271"/>
    <w:rsid w:val="00A044C6"/>
    <w:rsid w:val="00A104F0"/>
    <w:rsid w:val="00A111E0"/>
    <w:rsid w:val="00A13923"/>
    <w:rsid w:val="00A13A49"/>
    <w:rsid w:val="00A13ACC"/>
    <w:rsid w:val="00A13C83"/>
    <w:rsid w:val="00A142AE"/>
    <w:rsid w:val="00A14740"/>
    <w:rsid w:val="00A14A74"/>
    <w:rsid w:val="00A168D9"/>
    <w:rsid w:val="00A22B5D"/>
    <w:rsid w:val="00A23DF0"/>
    <w:rsid w:val="00A23F5C"/>
    <w:rsid w:val="00A24401"/>
    <w:rsid w:val="00A26493"/>
    <w:rsid w:val="00A26FCE"/>
    <w:rsid w:val="00A27106"/>
    <w:rsid w:val="00A27CE0"/>
    <w:rsid w:val="00A31744"/>
    <w:rsid w:val="00A31BF0"/>
    <w:rsid w:val="00A34C00"/>
    <w:rsid w:val="00A34C72"/>
    <w:rsid w:val="00A350D4"/>
    <w:rsid w:val="00A35C06"/>
    <w:rsid w:val="00A35CE0"/>
    <w:rsid w:val="00A37DDE"/>
    <w:rsid w:val="00A40BC1"/>
    <w:rsid w:val="00A41DB6"/>
    <w:rsid w:val="00A443DF"/>
    <w:rsid w:val="00A45067"/>
    <w:rsid w:val="00A453CF"/>
    <w:rsid w:val="00A45738"/>
    <w:rsid w:val="00A4591E"/>
    <w:rsid w:val="00A463D0"/>
    <w:rsid w:val="00A474BC"/>
    <w:rsid w:val="00A51392"/>
    <w:rsid w:val="00A515E9"/>
    <w:rsid w:val="00A52BFA"/>
    <w:rsid w:val="00A5355B"/>
    <w:rsid w:val="00A557B2"/>
    <w:rsid w:val="00A5648B"/>
    <w:rsid w:val="00A5740E"/>
    <w:rsid w:val="00A57EE2"/>
    <w:rsid w:val="00A60FCF"/>
    <w:rsid w:val="00A61E1C"/>
    <w:rsid w:val="00A63554"/>
    <w:rsid w:val="00A64BE0"/>
    <w:rsid w:val="00A66B0B"/>
    <w:rsid w:val="00A70702"/>
    <w:rsid w:val="00A7155D"/>
    <w:rsid w:val="00A7194D"/>
    <w:rsid w:val="00A71964"/>
    <w:rsid w:val="00A71E6E"/>
    <w:rsid w:val="00A72A92"/>
    <w:rsid w:val="00A72AF8"/>
    <w:rsid w:val="00A72C93"/>
    <w:rsid w:val="00A735B5"/>
    <w:rsid w:val="00A73C9B"/>
    <w:rsid w:val="00A7434B"/>
    <w:rsid w:val="00A74CC0"/>
    <w:rsid w:val="00A74DCE"/>
    <w:rsid w:val="00A76140"/>
    <w:rsid w:val="00A76813"/>
    <w:rsid w:val="00A82A12"/>
    <w:rsid w:val="00A830EC"/>
    <w:rsid w:val="00A83392"/>
    <w:rsid w:val="00A83A4B"/>
    <w:rsid w:val="00A84C8F"/>
    <w:rsid w:val="00A90CC4"/>
    <w:rsid w:val="00A95EE3"/>
    <w:rsid w:val="00A962A6"/>
    <w:rsid w:val="00A9715A"/>
    <w:rsid w:val="00AA054E"/>
    <w:rsid w:val="00AA151A"/>
    <w:rsid w:val="00AA16E3"/>
    <w:rsid w:val="00AA3756"/>
    <w:rsid w:val="00AA3A29"/>
    <w:rsid w:val="00AA551A"/>
    <w:rsid w:val="00AA5EF5"/>
    <w:rsid w:val="00AA695E"/>
    <w:rsid w:val="00AA6F90"/>
    <w:rsid w:val="00AA6FC7"/>
    <w:rsid w:val="00AA7AAF"/>
    <w:rsid w:val="00AB46CC"/>
    <w:rsid w:val="00AC1D9F"/>
    <w:rsid w:val="00AC3573"/>
    <w:rsid w:val="00AC4246"/>
    <w:rsid w:val="00AC43B0"/>
    <w:rsid w:val="00AC4737"/>
    <w:rsid w:val="00AC7969"/>
    <w:rsid w:val="00AC7992"/>
    <w:rsid w:val="00AD06D1"/>
    <w:rsid w:val="00AD18EF"/>
    <w:rsid w:val="00AD358D"/>
    <w:rsid w:val="00AD44C7"/>
    <w:rsid w:val="00AD4EC5"/>
    <w:rsid w:val="00AD6A18"/>
    <w:rsid w:val="00AE03D4"/>
    <w:rsid w:val="00AE22CD"/>
    <w:rsid w:val="00AE3023"/>
    <w:rsid w:val="00AE3808"/>
    <w:rsid w:val="00AE4B16"/>
    <w:rsid w:val="00AE5C98"/>
    <w:rsid w:val="00AE675B"/>
    <w:rsid w:val="00AF00E0"/>
    <w:rsid w:val="00AF0FA0"/>
    <w:rsid w:val="00AF1531"/>
    <w:rsid w:val="00AF1656"/>
    <w:rsid w:val="00AF1C70"/>
    <w:rsid w:val="00AF47DE"/>
    <w:rsid w:val="00AF6DF3"/>
    <w:rsid w:val="00AF7BF2"/>
    <w:rsid w:val="00AF7C3E"/>
    <w:rsid w:val="00B000B9"/>
    <w:rsid w:val="00B003C4"/>
    <w:rsid w:val="00B023BA"/>
    <w:rsid w:val="00B0281A"/>
    <w:rsid w:val="00B02D21"/>
    <w:rsid w:val="00B050EB"/>
    <w:rsid w:val="00B052D8"/>
    <w:rsid w:val="00B0553E"/>
    <w:rsid w:val="00B06ADF"/>
    <w:rsid w:val="00B07922"/>
    <w:rsid w:val="00B10E3E"/>
    <w:rsid w:val="00B10FA6"/>
    <w:rsid w:val="00B11D64"/>
    <w:rsid w:val="00B128B2"/>
    <w:rsid w:val="00B135A6"/>
    <w:rsid w:val="00B13CA5"/>
    <w:rsid w:val="00B14059"/>
    <w:rsid w:val="00B15399"/>
    <w:rsid w:val="00B1552C"/>
    <w:rsid w:val="00B15F88"/>
    <w:rsid w:val="00B1657E"/>
    <w:rsid w:val="00B16823"/>
    <w:rsid w:val="00B20761"/>
    <w:rsid w:val="00B20966"/>
    <w:rsid w:val="00B234B0"/>
    <w:rsid w:val="00B23C32"/>
    <w:rsid w:val="00B23D2A"/>
    <w:rsid w:val="00B24175"/>
    <w:rsid w:val="00B24720"/>
    <w:rsid w:val="00B24813"/>
    <w:rsid w:val="00B27F67"/>
    <w:rsid w:val="00B30B66"/>
    <w:rsid w:val="00B3214B"/>
    <w:rsid w:val="00B32414"/>
    <w:rsid w:val="00B32BF2"/>
    <w:rsid w:val="00B33247"/>
    <w:rsid w:val="00B33A6C"/>
    <w:rsid w:val="00B33D13"/>
    <w:rsid w:val="00B355D8"/>
    <w:rsid w:val="00B355EC"/>
    <w:rsid w:val="00B35715"/>
    <w:rsid w:val="00B35FD2"/>
    <w:rsid w:val="00B402E9"/>
    <w:rsid w:val="00B435A1"/>
    <w:rsid w:val="00B43F9E"/>
    <w:rsid w:val="00B461A9"/>
    <w:rsid w:val="00B462FD"/>
    <w:rsid w:val="00B47059"/>
    <w:rsid w:val="00B47165"/>
    <w:rsid w:val="00B474F4"/>
    <w:rsid w:val="00B47510"/>
    <w:rsid w:val="00B47576"/>
    <w:rsid w:val="00B47635"/>
    <w:rsid w:val="00B52695"/>
    <w:rsid w:val="00B52C50"/>
    <w:rsid w:val="00B55A84"/>
    <w:rsid w:val="00B56D04"/>
    <w:rsid w:val="00B629F5"/>
    <w:rsid w:val="00B63142"/>
    <w:rsid w:val="00B63CF2"/>
    <w:rsid w:val="00B65C1E"/>
    <w:rsid w:val="00B677B4"/>
    <w:rsid w:val="00B70A25"/>
    <w:rsid w:val="00B7189C"/>
    <w:rsid w:val="00B72EC6"/>
    <w:rsid w:val="00B74C3B"/>
    <w:rsid w:val="00B75810"/>
    <w:rsid w:val="00B75E55"/>
    <w:rsid w:val="00B761F5"/>
    <w:rsid w:val="00B764EB"/>
    <w:rsid w:val="00B7673D"/>
    <w:rsid w:val="00B77ED2"/>
    <w:rsid w:val="00B81284"/>
    <w:rsid w:val="00B8215B"/>
    <w:rsid w:val="00B827D6"/>
    <w:rsid w:val="00B84534"/>
    <w:rsid w:val="00B8670D"/>
    <w:rsid w:val="00B90444"/>
    <w:rsid w:val="00B924C9"/>
    <w:rsid w:val="00B92FF1"/>
    <w:rsid w:val="00B941D2"/>
    <w:rsid w:val="00B94D8B"/>
    <w:rsid w:val="00B95609"/>
    <w:rsid w:val="00B97FE9"/>
    <w:rsid w:val="00BA2017"/>
    <w:rsid w:val="00BA2970"/>
    <w:rsid w:val="00BA3C76"/>
    <w:rsid w:val="00BA4BDC"/>
    <w:rsid w:val="00BB57BD"/>
    <w:rsid w:val="00BB76BC"/>
    <w:rsid w:val="00BC1D77"/>
    <w:rsid w:val="00BC20C9"/>
    <w:rsid w:val="00BC26BB"/>
    <w:rsid w:val="00BC3187"/>
    <w:rsid w:val="00BC57AD"/>
    <w:rsid w:val="00BC57FA"/>
    <w:rsid w:val="00BC5B9A"/>
    <w:rsid w:val="00BC5E06"/>
    <w:rsid w:val="00BC6CA2"/>
    <w:rsid w:val="00BD054A"/>
    <w:rsid w:val="00BD0D7D"/>
    <w:rsid w:val="00BD173D"/>
    <w:rsid w:val="00BD242F"/>
    <w:rsid w:val="00BD33DA"/>
    <w:rsid w:val="00BD35A3"/>
    <w:rsid w:val="00BD44E1"/>
    <w:rsid w:val="00BD5868"/>
    <w:rsid w:val="00BD6AC3"/>
    <w:rsid w:val="00BD749F"/>
    <w:rsid w:val="00BD7FE8"/>
    <w:rsid w:val="00BE040E"/>
    <w:rsid w:val="00BE0F68"/>
    <w:rsid w:val="00BE3FB1"/>
    <w:rsid w:val="00BE4CD9"/>
    <w:rsid w:val="00BE5D9A"/>
    <w:rsid w:val="00BE7564"/>
    <w:rsid w:val="00BE7757"/>
    <w:rsid w:val="00BF0333"/>
    <w:rsid w:val="00BF0526"/>
    <w:rsid w:val="00BF0D6C"/>
    <w:rsid w:val="00BF5C7E"/>
    <w:rsid w:val="00BF6414"/>
    <w:rsid w:val="00BF64DB"/>
    <w:rsid w:val="00BF76D0"/>
    <w:rsid w:val="00BF7D2A"/>
    <w:rsid w:val="00BF7F31"/>
    <w:rsid w:val="00C01F7D"/>
    <w:rsid w:val="00C03B1A"/>
    <w:rsid w:val="00C03BE6"/>
    <w:rsid w:val="00C051FE"/>
    <w:rsid w:val="00C05ADF"/>
    <w:rsid w:val="00C05D8C"/>
    <w:rsid w:val="00C06233"/>
    <w:rsid w:val="00C14F67"/>
    <w:rsid w:val="00C14FA3"/>
    <w:rsid w:val="00C20AF5"/>
    <w:rsid w:val="00C21154"/>
    <w:rsid w:val="00C214F0"/>
    <w:rsid w:val="00C22703"/>
    <w:rsid w:val="00C237AB"/>
    <w:rsid w:val="00C23BBB"/>
    <w:rsid w:val="00C23BE0"/>
    <w:rsid w:val="00C249A8"/>
    <w:rsid w:val="00C25888"/>
    <w:rsid w:val="00C25976"/>
    <w:rsid w:val="00C25D76"/>
    <w:rsid w:val="00C261A6"/>
    <w:rsid w:val="00C30221"/>
    <w:rsid w:val="00C33513"/>
    <w:rsid w:val="00C34F37"/>
    <w:rsid w:val="00C400DB"/>
    <w:rsid w:val="00C42191"/>
    <w:rsid w:val="00C44623"/>
    <w:rsid w:val="00C449E8"/>
    <w:rsid w:val="00C46409"/>
    <w:rsid w:val="00C471B2"/>
    <w:rsid w:val="00C50216"/>
    <w:rsid w:val="00C516FC"/>
    <w:rsid w:val="00C51803"/>
    <w:rsid w:val="00C5193C"/>
    <w:rsid w:val="00C51F88"/>
    <w:rsid w:val="00C5200A"/>
    <w:rsid w:val="00C52ECE"/>
    <w:rsid w:val="00C54044"/>
    <w:rsid w:val="00C54CF9"/>
    <w:rsid w:val="00C54F3A"/>
    <w:rsid w:val="00C57851"/>
    <w:rsid w:val="00C600C9"/>
    <w:rsid w:val="00C61021"/>
    <w:rsid w:val="00C64E1E"/>
    <w:rsid w:val="00C667DE"/>
    <w:rsid w:val="00C708E3"/>
    <w:rsid w:val="00C718C6"/>
    <w:rsid w:val="00C72173"/>
    <w:rsid w:val="00C72433"/>
    <w:rsid w:val="00C746BE"/>
    <w:rsid w:val="00C74A87"/>
    <w:rsid w:val="00C75E14"/>
    <w:rsid w:val="00C764AB"/>
    <w:rsid w:val="00C776FE"/>
    <w:rsid w:val="00C77B0E"/>
    <w:rsid w:val="00C806CB"/>
    <w:rsid w:val="00C816A4"/>
    <w:rsid w:val="00C817F9"/>
    <w:rsid w:val="00C81CE2"/>
    <w:rsid w:val="00C81D88"/>
    <w:rsid w:val="00C82A58"/>
    <w:rsid w:val="00C839B2"/>
    <w:rsid w:val="00C8685D"/>
    <w:rsid w:val="00C879C8"/>
    <w:rsid w:val="00C916C2"/>
    <w:rsid w:val="00C92637"/>
    <w:rsid w:val="00C93A9E"/>
    <w:rsid w:val="00C93D54"/>
    <w:rsid w:val="00C94854"/>
    <w:rsid w:val="00C95596"/>
    <w:rsid w:val="00C965E2"/>
    <w:rsid w:val="00C970EE"/>
    <w:rsid w:val="00C97927"/>
    <w:rsid w:val="00CA18EA"/>
    <w:rsid w:val="00CA1F16"/>
    <w:rsid w:val="00CA2396"/>
    <w:rsid w:val="00CA36FB"/>
    <w:rsid w:val="00CA3C64"/>
    <w:rsid w:val="00CA5895"/>
    <w:rsid w:val="00CA5DEF"/>
    <w:rsid w:val="00CA605D"/>
    <w:rsid w:val="00CA64A1"/>
    <w:rsid w:val="00CA69A1"/>
    <w:rsid w:val="00CB03E8"/>
    <w:rsid w:val="00CB0DD6"/>
    <w:rsid w:val="00CB327D"/>
    <w:rsid w:val="00CB4B43"/>
    <w:rsid w:val="00CB4CE5"/>
    <w:rsid w:val="00CB5399"/>
    <w:rsid w:val="00CB588E"/>
    <w:rsid w:val="00CB6290"/>
    <w:rsid w:val="00CB6BB9"/>
    <w:rsid w:val="00CB746A"/>
    <w:rsid w:val="00CB7A39"/>
    <w:rsid w:val="00CC0360"/>
    <w:rsid w:val="00CC0E48"/>
    <w:rsid w:val="00CC16D6"/>
    <w:rsid w:val="00CC1A9F"/>
    <w:rsid w:val="00CC4861"/>
    <w:rsid w:val="00CC4B50"/>
    <w:rsid w:val="00CC5522"/>
    <w:rsid w:val="00CC63C5"/>
    <w:rsid w:val="00CC7FDA"/>
    <w:rsid w:val="00CD0EE5"/>
    <w:rsid w:val="00CD1B26"/>
    <w:rsid w:val="00CD1FCA"/>
    <w:rsid w:val="00CD2FD9"/>
    <w:rsid w:val="00CD4C12"/>
    <w:rsid w:val="00CE0123"/>
    <w:rsid w:val="00CE0EC9"/>
    <w:rsid w:val="00CE1460"/>
    <w:rsid w:val="00CE1755"/>
    <w:rsid w:val="00CE1896"/>
    <w:rsid w:val="00CE1BB5"/>
    <w:rsid w:val="00CE1D56"/>
    <w:rsid w:val="00CE3EA4"/>
    <w:rsid w:val="00CE4E92"/>
    <w:rsid w:val="00CE514F"/>
    <w:rsid w:val="00CE5715"/>
    <w:rsid w:val="00CE6109"/>
    <w:rsid w:val="00CE64A1"/>
    <w:rsid w:val="00CE72E3"/>
    <w:rsid w:val="00CE7514"/>
    <w:rsid w:val="00CE7B07"/>
    <w:rsid w:val="00CF0AE2"/>
    <w:rsid w:val="00CF172E"/>
    <w:rsid w:val="00CF2239"/>
    <w:rsid w:val="00CF30D4"/>
    <w:rsid w:val="00CF3BB6"/>
    <w:rsid w:val="00CF3FEB"/>
    <w:rsid w:val="00CF463F"/>
    <w:rsid w:val="00CF5438"/>
    <w:rsid w:val="00CF5ED4"/>
    <w:rsid w:val="00CF6A35"/>
    <w:rsid w:val="00CF6B12"/>
    <w:rsid w:val="00D02892"/>
    <w:rsid w:val="00D03C33"/>
    <w:rsid w:val="00D05D63"/>
    <w:rsid w:val="00D07B4F"/>
    <w:rsid w:val="00D10811"/>
    <w:rsid w:val="00D12659"/>
    <w:rsid w:val="00D13F2C"/>
    <w:rsid w:val="00D1412A"/>
    <w:rsid w:val="00D151AD"/>
    <w:rsid w:val="00D169B4"/>
    <w:rsid w:val="00D20C5D"/>
    <w:rsid w:val="00D21149"/>
    <w:rsid w:val="00D23774"/>
    <w:rsid w:val="00D24049"/>
    <w:rsid w:val="00D24AB6"/>
    <w:rsid w:val="00D25600"/>
    <w:rsid w:val="00D25E0F"/>
    <w:rsid w:val="00D26274"/>
    <w:rsid w:val="00D30B58"/>
    <w:rsid w:val="00D30BDD"/>
    <w:rsid w:val="00D315DC"/>
    <w:rsid w:val="00D31BEC"/>
    <w:rsid w:val="00D32C28"/>
    <w:rsid w:val="00D33B9D"/>
    <w:rsid w:val="00D33E82"/>
    <w:rsid w:val="00D34F9C"/>
    <w:rsid w:val="00D35734"/>
    <w:rsid w:val="00D35B8D"/>
    <w:rsid w:val="00D36B2C"/>
    <w:rsid w:val="00D37C78"/>
    <w:rsid w:val="00D40166"/>
    <w:rsid w:val="00D416EA"/>
    <w:rsid w:val="00D41F7A"/>
    <w:rsid w:val="00D42D55"/>
    <w:rsid w:val="00D434DB"/>
    <w:rsid w:val="00D43A8E"/>
    <w:rsid w:val="00D43DC5"/>
    <w:rsid w:val="00D44F8D"/>
    <w:rsid w:val="00D459C3"/>
    <w:rsid w:val="00D46332"/>
    <w:rsid w:val="00D47D02"/>
    <w:rsid w:val="00D50038"/>
    <w:rsid w:val="00D50260"/>
    <w:rsid w:val="00D50550"/>
    <w:rsid w:val="00D51033"/>
    <w:rsid w:val="00D51DFD"/>
    <w:rsid w:val="00D5306E"/>
    <w:rsid w:val="00D537F1"/>
    <w:rsid w:val="00D55A8F"/>
    <w:rsid w:val="00D560EE"/>
    <w:rsid w:val="00D56109"/>
    <w:rsid w:val="00D56232"/>
    <w:rsid w:val="00D564BA"/>
    <w:rsid w:val="00D572F0"/>
    <w:rsid w:val="00D61033"/>
    <w:rsid w:val="00D634EB"/>
    <w:rsid w:val="00D64977"/>
    <w:rsid w:val="00D650B5"/>
    <w:rsid w:val="00D65236"/>
    <w:rsid w:val="00D664C7"/>
    <w:rsid w:val="00D67CBD"/>
    <w:rsid w:val="00D70FC8"/>
    <w:rsid w:val="00D7197E"/>
    <w:rsid w:val="00D72E34"/>
    <w:rsid w:val="00D7374D"/>
    <w:rsid w:val="00D745BC"/>
    <w:rsid w:val="00D75E74"/>
    <w:rsid w:val="00D80507"/>
    <w:rsid w:val="00D8113D"/>
    <w:rsid w:val="00D81313"/>
    <w:rsid w:val="00D816FA"/>
    <w:rsid w:val="00D821B9"/>
    <w:rsid w:val="00D83FFF"/>
    <w:rsid w:val="00D84B71"/>
    <w:rsid w:val="00D85C8F"/>
    <w:rsid w:val="00D867FA"/>
    <w:rsid w:val="00D87A3D"/>
    <w:rsid w:val="00D90BAD"/>
    <w:rsid w:val="00D939BA"/>
    <w:rsid w:val="00D9418C"/>
    <w:rsid w:val="00D94DBB"/>
    <w:rsid w:val="00D94E46"/>
    <w:rsid w:val="00D95AF9"/>
    <w:rsid w:val="00D96247"/>
    <w:rsid w:val="00D96C3C"/>
    <w:rsid w:val="00D96CF5"/>
    <w:rsid w:val="00D9707E"/>
    <w:rsid w:val="00D977ED"/>
    <w:rsid w:val="00DA09E5"/>
    <w:rsid w:val="00DA0DF1"/>
    <w:rsid w:val="00DA0FEA"/>
    <w:rsid w:val="00DA15E0"/>
    <w:rsid w:val="00DA1EC8"/>
    <w:rsid w:val="00DA1F37"/>
    <w:rsid w:val="00DA239E"/>
    <w:rsid w:val="00DA442A"/>
    <w:rsid w:val="00DA5D61"/>
    <w:rsid w:val="00DA732E"/>
    <w:rsid w:val="00DB136B"/>
    <w:rsid w:val="00DB17E7"/>
    <w:rsid w:val="00DB2357"/>
    <w:rsid w:val="00DB2454"/>
    <w:rsid w:val="00DB303F"/>
    <w:rsid w:val="00DB47F8"/>
    <w:rsid w:val="00DB5B08"/>
    <w:rsid w:val="00DB7C92"/>
    <w:rsid w:val="00DC1153"/>
    <w:rsid w:val="00DC4AE3"/>
    <w:rsid w:val="00DC4C51"/>
    <w:rsid w:val="00DC5131"/>
    <w:rsid w:val="00DC6147"/>
    <w:rsid w:val="00DC77E8"/>
    <w:rsid w:val="00DD0CAC"/>
    <w:rsid w:val="00DD1FA6"/>
    <w:rsid w:val="00DD2576"/>
    <w:rsid w:val="00DD281C"/>
    <w:rsid w:val="00DD37E1"/>
    <w:rsid w:val="00DD3CF3"/>
    <w:rsid w:val="00DD431B"/>
    <w:rsid w:val="00DD6555"/>
    <w:rsid w:val="00DD6D25"/>
    <w:rsid w:val="00DD7518"/>
    <w:rsid w:val="00DD7CC1"/>
    <w:rsid w:val="00DD7F8C"/>
    <w:rsid w:val="00DE3493"/>
    <w:rsid w:val="00DE35D8"/>
    <w:rsid w:val="00DE3913"/>
    <w:rsid w:val="00DE3987"/>
    <w:rsid w:val="00DE3B23"/>
    <w:rsid w:val="00DE580D"/>
    <w:rsid w:val="00DE59B8"/>
    <w:rsid w:val="00DE61F5"/>
    <w:rsid w:val="00DE67A1"/>
    <w:rsid w:val="00DF16B6"/>
    <w:rsid w:val="00DF19CB"/>
    <w:rsid w:val="00DF1BBB"/>
    <w:rsid w:val="00DF2F26"/>
    <w:rsid w:val="00DF4BC9"/>
    <w:rsid w:val="00DF5C22"/>
    <w:rsid w:val="00DF60DF"/>
    <w:rsid w:val="00DF62CD"/>
    <w:rsid w:val="00DF64AC"/>
    <w:rsid w:val="00DF6B92"/>
    <w:rsid w:val="00E00767"/>
    <w:rsid w:val="00E033FB"/>
    <w:rsid w:val="00E034ED"/>
    <w:rsid w:val="00E04359"/>
    <w:rsid w:val="00E0601F"/>
    <w:rsid w:val="00E10127"/>
    <w:rsid w:val="00E11C31"/>
    <w:rsid w:val="00E12AA6"/>
    <w:rsid w:val="00E133C0"/>
    <w:rsid w:val="00E1504B"/>
    <w:rsid w:val="00E15596"/>
    <w:rsid w:val="00E16089"/>
    <w:rsid w:val="00E2606B"/>
    <w:rsid w:val="00E260A3"/>
    <w:rsid w:val="00E26328"/>
    <w:rsid w:val="00E2715F"/>
    <w:rsid w:val="00E30F22"/>
    <w:rsid w:val="00E3148B"/>
    <w:rsid w:val="00E31D7E"/>
    <w:rsid w:val="00E33E27"/>
    <w:rsid w:val="00E33E9C"/>
    <w:rsid w:val="00E34443"/>
    <w:rsid w:val="00E35C99"/>
    <w:rsid w:val="00E37DF9"/>
    <w:rsid w:val="00E4077D"/>
    <w:rsid w:val="00E414D6"/>
    <w:rsid w:val="00E41EEA"/>
    <w:rsid w:val="00E42D40"/>
    <w:rsid w:val="00E43578"/>
    <w:rsid w:val="00E43A09"/>
    <w:rsid w:val="00E44043"/>
    <w:rsid w:val="00E44200"/>
    <w:rsid w:val="00E44707"/>
    <w:rsid w:val="00E45C24"/>
    <w:rsid w:val="00E45D0B"/>
    <w:rsid w:val="00E463A3"/>
    <w:rsid w:val="00E4664F"/>
    <w:rsid w:val="00E46E4A"/>
    <w:rsid w:val="00E46E7B"/>
    <w:rsid w:val="00E5040F"/>
    <w:rsid w:val="00E50A76"/>
    <w:rsid w:val="00E549D1"/>
    <w:rsid w:val="00E562F0"/>
    <w:rsid w:val="00E56697"/>
    <w:rsid w:val="00E572B7"/>
    <w:rsid w:val="00E601B4"/>
    <w:rsid w:val="00E60301"/>
    <w:rsid w:val="00E60B07"/>
    <w:rsid w:val="00E6108B"/>
    <w:rsid w:val="00E61B25"/>
    <w:rsid w:val="00E6276A"/>
    <w:rsid w:val="00E65BAC"/>
    <w:rsid w:val="00E72FA0"/>
    <w:rsid w:val="00E7386A"/>
    <w:rsid w:val="00E74364"/>
    <w:rsid w:val="00E7462A"/>
    <w:rsid w:val="00E76607"/>
    <w:rsid w:val="00E778F3"/>
    <w:rsid w:val="00E81674"/>
    <w:rsid w:val="00E81F37"/>
    <w:rsid w:val="00E82B36"/>
    <w:rsid w:val="00E82DB5"/>
    <w:rsid w:val="00E83793"/>
    <w:rsid w:val="00E8414C"/>
    <w:rsid w:val="00E85969"/>
    <w:rsid w:val="00E86459"/>
    <w:rsid w:val="00E87887"/>
    <w:rsid w:val="00E87A95"/>
    <w:rsid w:val="00E9197E"/>
    <w:rsid w:val="00E91C23"/>
    <w:rsid w:val="00E92210"/>
    <w:rsid w:val="00E9245D"/>
    <w:rsid w:val="00E92D3B"/>
    <w:rsid w:val="00E93A63"/>
    <w:rsid w:val="00E93CBC"/>
    <w:rsid w:val="00E95EDB"/>
    <w:rsid w:val="00E97754"/>
    <w:rsid w:val="00EA1080"/>
    <w:rsid w:val="00EA120A"/>
    <w:rsid w:val="00EA1C28"/>
    <w:rsid w:val="00EA399B"/>
    <w:rsid w:val="00EA4479"/>
    <w:rsid w:val="00EA7C8E"/>
    <w:rsid w:val="00EB25DF"/>
    <w:rsid w:val="00EB61E5"/>
    <w:rsid w:val="00EB6347"/>
    <w:rsid w:val="00EB68D5"/>
    <w:rsid w:val="00EB6C20"/>
    <w:rsid w:val="00EB6DF1"/>
    <w:rsid w:val="00EC29B5"/>
    <w:rsid w:val="00EC43A9"/>
    <w:rsid w:val="00EC6B8B"/>
    <w:rsid w:val="00EC7528"/>
    <w:rsid w:val="00EC7C75"/>
    <w:rsid w:val="00ED108E"/>
    <w:rsid w:val="00ED224C"/>
    <w:rsid w:val="00ED285B"/>
    <w:rsid w:val="00ED2DAA"/>
    <w:rsid w:val="00ED41BE"/>
    <w:rsid w:val="00ED508E"/>
    <w:rsid w:val="00ED52E2"/>
    <w:rsid w:val="00ED52F0"/>
    <w:rsid w:val="00ED5704"/>
    <w:rsid w:val="00ED5D04"/>
    <w:rsid w:val="00ED64BE"/>
    <w:rsid w:val="00ED7812"/>
    <w:rsid w:val="00EE07EB"/>
    <w:rsid w:val="00EE14DE"/>
    <w:rsid w:val="00EE33D4"/>
    <w:rsid w:val="00EE3D09"/>
    <w:rsid w:val="00EE474C"/>
    <w:rsid w:val="00EE4A8B"/>
    <w:rsid w:val="00EE4AF0"/>
    <w:rsid w:val="00EE5156"/>
    <w:rsid w:val="00EF0A98"/>
    <w:rsid w:val="00EF10CC"/>
    <w:rsid w:val="00EF22A4"/>
    <w:rsid w:val="00EF2422"/>
    <w:rsid w:val="00EF27C5"/>
    <w:rsid w:val="00EF3035"/>
    <w:rsid w:val="00EF46E0"/>
    <w:rsid w:val="00F02848"/>
    <w:rsid w:val="00F03C57"/>
    <w:rsid w:val="00F04A41"/>
    <w:rsid w:val="00F052CE"/>
    <w:rsid w:val="00F1022D"/>
    <w:rsid w:val="00F10B9A"/>
    <w:rsid w:val="00F10C32"/>
    <w:rsid w:val="00F11777"/>
    <w:rsid w:val="00F12089"/>
    <w:rsid w:val="00F1318A"/>
    <w:rsid w:val="00F13D0B"/>
    <w:rsid w:val="00F149B0"/>
    <w:rsid w:val="00F15409"/>
    <w:rsid w:val="00F2394D"/>
    <w:rsid w:val="00F2499B"/>
    <w:rsid w:val="00F26BF7"/>
    <w:rsid w:val="00F26D29"/>
    <w:rsid w:val="00F26FD2"/>
    <w:rsid w:val="00F275A1"/>
    <w:rsid w:val="00F30F98"/>
    <w:rsid w:val="00F31968"/>
    <w:rsid w:val="00F327AD"/>
    <w:rsid w:val="00F33310"/>
    <w:rsid w:val="00F335BE"/>
    <w:rsid w:val="00F33C8C"/>
    <w:rsid w:val="00F34391"/>
    <w:rsid w:val="00F35322"/>
    <w:rsid w:val="00F36BF1"/>
    <w:rsid w:val="00F376E5"/>
    <w:rsid w:val="00F409A4"/>
    <w:rsid w:val="00F4151C"/>
    <w:rsid w:val="00F41E05"/>
    <w:rsid w:val="00F43A82"/>
    <w:rsid w:val="00F44E3A"/>
    <w:rsid w:val="00F452B8"/>
    <w:rsid w:val="00F45BFF"/>
    <w:rsid w:val="00F51570"/>
    <w:rsid w:val="00F520A6"/>
    <w:rsid w:val="00F52204"/>
    <w:rsid w:val="00F533BF"/>
    <w:rsid w:val="00F54A32"/>
    <w:rsid w:val="00F5502E"/>
    <w:rsid w:val="00F55158"/>
    <w:rsid w:val="00F55A70"/>
    <w:rsid w:val="00F60414"/>
    <w:rsid w:val="00F648C2"/>
    <w:rsid w:val="00F6643B"/>
    <w:rsid w:val="00F6692B"/>
    <w:rsid w:val="00F66EFC"/>
    <w:rsid w:val="00F67D61"/>
    <w:rsid w:val="00F70B13"/>
    <w:rsid w:val="00F70FFF"/>
    <w:rsid w:val="00F73E83"/>
    <w:rsid w:val="00F746E1"/>
    <w:rsid w:val="00F74908"/>
    <w:rsid w:val="00F750AF"/>
    <w:rsid w:val="00F75541"/>
    <w:rsid w:val="00F814F0"/>
    <w:rsid w:val="00F82000"/>
    <w:rsid w:val="00F844B7"/>
    <w:rsid w:val="00F84B2E"/>
    <w:rsid w:val="00F84CEF"/>
    <w:rsid w:val="00F9033A"/>
    <w:rsid w:val="00F918C4"/>
    <w:rsid w:val="00F9208F"/>
    <w:rsid w:val="00F92592"/>
    <w:rsid w:val="00F9469D"/>
    <w:rsid w:val="00F94868"/>
    <w:rsid w:val="00F94A16"/>
    <w:rsid w:val="00F94DE2"/>
    <w:rsid w:val="00F95DC6"/>
    <w:rsid w:val="00F96BD1"/>
    <w:rsid w:val="00F97B7C"/>
    <w:rsid w:val="00FA14D8"/>
    <w:rsid w:val="00FA2E5E"/>
    <w:rsid w:val="00FA52D4"/>
    <w:rsid w:val="00FA52EE"/>
    <w:rsid w:val="00FA5A96"/>
    <w:rsid w:val="00FA5E86"/>
    <w:rsid w:val="00FA649F"/>
    <w:rsid w:val="00FA68F4"/>
    <w:rsid w:val="00FA7275"/>
    <w:rsid w:val="00FB045F"/>
    <w:rsid w:val="00FB0BF2"/>
    <w:rsid w:val="00FB4850"/>
    <w:rsid w:val="00FB50E2"/>
    <w:rsid w:val="00FB5FF7"/>
    <w:rsid w:val="00FC09E4"/>
    <w:rsid w:val="00FC28C0"/>
    <w:rsid w:val="00FC459C"/>
    <w:rsid w:val="00FD2427"/>
    <w:rsid w:val="00FD294A"/>
    <w:rsid w:val="00FD2C9F"/>
    <w:rsid w:val="00FD4032"/>
    <w:rsid w:val="00FD47D7"/>
    <w:rsid w:val="00FD5389"/>
    <w:rsid w:val="00FE03DF"/>
    <w:rsid w:val="00FE1431"/>
    <w:rsid w:val="00FE17A3"/>
    <w:rsid w:val="00FE26A7"/>
    <w:rsid w:val="00FE3137"/>
    <w:rsid w:val="00FE4634"/>
    <w:rsid w:val="00FE6789"/>
    <w:rsid w:val="00FF25D2"/>
    <w:rsid w:val="00FF30FD"/>
    <w:rsid w:val="00FF399A"/>
    <w:rsid w:val="00FF4579"/>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05EF65"/>
  <w15:chartTrackingRefBased/>
  <w15:docId w15:val="{0EF22C5F-2083-4D28-82C4-880238FE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it-IT" w:eastAsia="it-IT"/>
    </w:rPr>
  </w:style>
  <w:style w:type="paragraph" w:styleId="Titolo1">
    <w:name w:val="heading 1"/>
    <w:basedOn w:val="Normale"/>
    <w:next w:val="Normale"/>
    <w:qFormat/>
    <w:pPr>
      <w:keepNext/>
      <w:widowControl w:val="0"/>
      <w:tabs>
        <w:tab w:val="left" w:pos="7766"/>
      </w:tabs>
      <w:jc w:val="center"/>
      <w:outlineLvl w:val="0"/>
    </w:pPr>
    <w:rPr>
      <w:b/>
      <w:snapToGrid w:val="0"/>
      <w:sz w:val="26"/>
      <w:szCs w:val="20"/>
    </w:rPr>
  </w:style>
  <w:style w:type="paragraph" w:styleId="Titolo2">
    <w:name w:val="heading 2"/>
    <w:basedOn w:val="Normale"/>
    <w:next w:val="Normale"/>
    <w:qFormat/>
    <w:pPr>
      <w:keepNext/>
      <w:widowControl w:val="0"/>
      <w:tabs>
        <w:tab w:val="left" w:pos="204"/>
      </w:tabs>
      <w:jc w:val="both"/>
      <w:outlineLvl w:val="1"/>
    </w:pPr>
    <w:rPr>
      <w:b/>
      <w:snapToGrid w:val="0"/>
      <w:sz w:val="22"/>
      <w:szCs w:val="20"/>
    </w:rPr>
  </w:style>
  <w:style w:type="paragraph" w:styleId="Titolo3">
    <w:name w:val="heading 3"/>
    <w:basedOn w:val="Normale"/>
    <w:next w:val="Normale"/>
    <w:qFormat/>
    <w:pPr>
      <w:keepNext/>
      <w:widowControl w:val="0"/>
      <w:tabs>
        <w:tab w:val="left" w:pos="204"/>
      </w:tabs>
      <w:ind w:left="1560"/>
      <w:outlineLvl w:val="2"/>
    </w:pPr>
    <w:rPr>
      <w:i/>
      <w:snapToGrid w:val="0"/>
      <w:sz w:val="22"/>
      <w:szCs w:val="20"/>
    </w:rPr>
  </w:style>
  <w:style w:type="paragraph" w:styleId="Titolo4">
    <w:name w:val="heading 4"/>
    <w:basedOn w:val="Normale"/>
    <w:next w:val="Normale"/>
    <w:qFormat/>
    <w:pPr>
      <w:keepNext/>
      <w:widowControl w:val="0"/>
      <w:tabs>
        <w:tab w:val="left" w:pos="204"/>
      </w:tabs>
      <w:outlineLvl w:val="3"/>
    </w:pPr>
    <w:rPr>
      <w:b/>
      <w:snapToGrid w:val="0"/>
      <w:sz w:val="22"/>
      <w:szCs w:val="20"/>
    </w:rPr>
  </w:style>
  <w:style w:type="paragraph" w:styleId="Titolo5">
    <w:name w:val="heading 5"/>
    <w:basedOn w:val="Normale"/>
    <w:next w:val="Normale"/>
    <w:qFormat/>
    <w:pPr>
      <w:keepNext/>
      <w:jc w:val="center"/>
      <w:outlineLvl w:val="4"/>
    </w:pPr>
    <w:rPr>
      <w:b/>
      <w:snapToGrid w:val="0"/>
      <w:color w:val="000000"/>
      <w:sz w:val="22"/>
      <w:szCs w:val="20"/>
    </w:rPr>
  </w:style>
  <w:style w:type="paragraph" w:styleId="Titolo6">
    <w:name w:val="heading 6"/>
    <w:basedOn w:val="Normale"/>
    <w:next w:val="Normale"/>
    <w:qFormat/>
    <w:pPr>
      <w:keepNext/>
      <w:widowControl w:val="0"/>
      <w:shd w:val="pct20" w:color="auto" w:fill="auto"/>
      <w:tabs>
        <w:tab w:val="left" w:pos="7766"/>
      </w:tabs>
      <w:outlineLvl w:val="5"/>
    </w:pPr>
    <w:rPr>
      <w:b/>
      <w:snapToGrid w:val="0"/>
      <w:sz w:val="22"/>
      <w:szCs w:val="20"/>
    </w:rPr>
  </w:style>
  <w:style w:type="paragraph" w:styleId="Titolo7">
    <w:name w:val="heading 7"/>
    <w:basedOn w:val="Normale"/>
    <w:next w:val="Normale"/>
    <w:qFormat/>
    <w:pPr>
      <w:keepNext/>
      <w:widowControl w:val="0"/>
      <w:tabs>
        <w:tab w:val="left" w:pos="7766"/>
      </w:tabs>
      <w:jc w:val="center"/>
      <w:outlineLvl w:val="6"/>
    </w:pPr>
    <w:rPr>
      <w:rFonts w:ascii="Arial" w:hAnsi="Arial" w:cs="Arial"/>
      <w:b/>
      <w:snapToGrid w:val="0"/>
      <w:sz w:val="22"/>
      <w:lang w:val="en-US"/>
    </w:rPr>
  </w:style>
  <w:style w:type="paragraph" w:styleId="Titolo8">
    <w:name w:val="heading 8"/>
    <w:basedOn w:val="Normale"/>
    <w:next w:val="Normale"/>
    <w:qFormat/>
    <w:pPr>
      <w:keepNext/>
      <w:ind w:firstLine="180"/>
      <w:outlineLvl w:val="7"/>
    </w:pPr>
    <w:rPr>
      <w:rFonts w:ascii="Arial" w:hAnsi="Arial" w:cs="Arial"/>
      <w:b/>
      <w:bCs/>
      <w:snapToGrid w:val="0"/>
      <w:color w:val="000000"/>
      <w:sz w:val="18"/>
    </w:rPr>
  </w:style>
  <w:style w:type="paragraph" w:styleId="Titolo9">
    <w:name w:val="heading 9"/>
    <w:basedOn w:val="Normale"/>
    <w:next w:val="Normale"/>
    <w:qFormat/>
    <w:pPr>
      <w:keepNext/>
      <w:framePr w:hSpace="141" w:wrap="around" w:vAnchor="text" w:hAnchor="text" w:x="1767" w:y="1"/>
      <w:widowControl w:val="0"/>
      <w:suppressOverlap/>
      <w:jc w:val="right"/>
      <w:outlineLvl w:val="8"/>
    </w:pPr>
    <w:rPr>
      <w:rFonts w:ascii="Arial" w:hAnsi="Arial" w:cs="Arial"/>
      <w:b/>
      <w:bCs/>
      <w:snapToGrid w:val="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semiHidden/>
    <w:pPr>
      <w:widowControl w:val="0"/>
      <w:tabs>
        <w:tab w:val="left" w:pos="1564"/>
      </w:tabs>
      <w:spacing w:before="120" w:after="120"/>
      <w:ind w:left="1565"/>
      <w:jc w:val="both"/>
    </w:pPr>
    <w:rPr>
      <w:rFonts w:ascii="Arial" w:hAnsi="Arial" w:cs="Arial"/>
      <w:snapToGrid w:val="0"/>
      <w:sz w:val="22"/>
    </w:rPr>
  </w:style>
  <w:style w:type="paragraph" w:styleId="Testodelblocco">
    <w:name w:val="Block Text"/>
    <w:basedOn w:val="Normale"/>
    <w:semiHidden/>
    <w:pPr>
      <w:widowControl w:val="0"/>
      <w:autoSpaceDE w:val="0"/>
      <w:autoSpaceDN w:val="0"/>
      <w:ind w:left="1700" w:right="1"/>
      <w:jc w:val="both"/>
    </w:pPr>
    <w:rPr>
      <w:color w:val="000000"/>
    </w:rPr>
  </w:style>
  <w:style w:type="paragraph" w:customStyle="1" w:styleId="Testots">
    <w:name w:val="Testo.ts"/>
    <w:basedOn w:val="Normale"/>
    <w:pPr>
      <w:spacing w:before="130" w:after="130" w:line="260" w:lineRule="exact"/>
      <w:jc w:val="both"/>
    </w:pPr>
    <w:rPr>
      <w:sz w:val="22"/>
      <w:szCs w:val="20"/>
    </w:rPr>
  </w:style>
  <w:style w:type="paragraph" w:styleId="Corpodeltesto3">
    <w:name w:val="Body Text 3"/>
    <w:basedOn w:val="Normale"/>
    <w:semiHidden/>
    <w:pPr>
      <w:widowControl w:val="0"/>
      <w:tabs>
        <w:tab w:val="left" w:pos="7245"/>
      </w:tabs>
      <w:jc w:val="both"/>
    </w:pPr>
    <w:rPr>
      <w:snapToGrid w:val="0"/>
      <w:sz w:val="22"/>
      <w:szCs w:val="20"/>
    </w:rPr>
  </w:style>
  <w:style w:type="paragraph" w:styleId="Corpotesto">
    <w:name w:val="Body Text"/>
    <w:basedOn w:val="Normale"/>
    <w:semiHidden/>
    <w:pPr>
      <w:jc w:val="both"/>
    </w:pPr>
    <w:rPr>
      <w:snapToGrid w:val="0"/>
      <w:szCs w:val="20"/>
    </w:rPr>
  </w:style>
  <w:style w:type="paragraph" w:styleId="Rientrocorpodeltesto3">
    <w:name w:val="Body Text Indent 3"/>
    <w:basedOn w:val="Normale"/>
    <w:semiHidden/>
    <w:pPr>
      <w:widowControl w:val="0"/>
      <w:tabs>
        <w:tab w:val="left" w:pos="204"/>
      </w:tabs>
      <w:ind w:left="-284"/>
      <w:jc w:val="both"/>
    </w:pPr>
    <w:rPr>
      <w:snapToGrid w:val="0"/>
      <w:sz w:val="22"/>
      <w:szCs w:val="20"/>
    </w:rPr>
  </w:style>
  <w:style w:type="paragraph" w:styleId="Rientrocorpodeltesto">
    <w:name w:val="Body Text Indent"/>
    <w:basedOn w:val="Normale"/>
    <w:link w:val="RientrocorpodeltestoCarattere"/>
    <w:semiHidden/>
    <w:pPr>
      <w:widowControl w:val="0"/>
      <w:tabs>
        <w:tab w:val="left" w:pos="1542"/>
      </w:tabs>
      <w:ind w:left="1542"/>
    </w:pPr>
    <w:rPr>
      <w:snapToGrid w:val="0"/>
      <w:sz w:val="22"/>
      <w:szCs w:val="20"/>
      <w:lang w:val="x-none" w:eastAsia="x-none"/>
    </w:rPr>
  </w:style>
  <w:style w:type="paragraph" w:styleId="Corpodeltesto2">
    <w:name w:val="Body Text 2"/>
    <w:basedOn w:val="Normale"/>
    <w:semiHidden/>
    <w:pPr>
      <w:widowControl w:val="0"/>
      <w:tabs>
        <w:tab w:val="left" w:pos="436"/>
      </w:tabs>
    </w:pPr>
    <w:rPr>
      <w:snapToGrid w:val="0"/>
      <w:sz w:val="22"/>
      <w:szCs w:val="20"/>
    </w:rPr>
  </w:style>
  <w:style w:type="paragraph" w:styleId="Intestazione">
    <w:name w:val="header"/>
    <w:basedOn w:val="Normale"/>
    <w:link w:val="IntestazioneCarattere"/>
    <w:uiPriority w:val="99"/>
    <w:pPr>
      <w:tabs>
        <w:tab w:val="center" w:pos="4819"/>
        <w:tab w:val="right" w:pos="9638"/>
      </w:tabs>
    </w:pPr>
    <w:rPr>
      <w:sz w:val="20"/>
      <w:szCs w:val="20"/>
    </w:rPr>
  </w:style>
  <w:style w:type="paragraph" w:styleId="Didascalia">
    <w:name w:val="caption"/>
    <w:basedOn w:val="Normale"/>
    <w:next w:val="Normale"/>
    <w:qFormat/>
    <w:pPr>
      <w:widowControl w:val="0"/>
      <w:ind w:left="426"/>
      <w:jc w:val="both"/>
    </w:pPr>
    <w:rPr>
      <w:rFonts w:ascii="Book Antiqua" w:hAnsi="Book Antiqua"/>
      <w:b/>
      <w:bCs/>
      <w:snapToGrid w:val="0"/>
      <w:sz w:val="22"/>
      <w:szCs w:val="20"/>
    </w:rPr>
  </w:style>
  <w:style w:type="character" w:styleId="Numeropagina">
    <w:name w:val="page number"/>
    <w:basedOn w:val="Carpredefinitoparagrafo"/>
    <w:semiHidden/>
  </w:style>
  <w:style w:type="paragraph" w:styleId="Pidipagina">
    <w:name w:val="footer"/>
    <w:basedOn w:val="Normale"/>
    <w:semiHidden/>
    <w:pPr>
      <w:tabs>
        <w:tab w:val="center" w:pos="4819"/>
        <w:tab w:val="right" w:pos="9638"/>
      </w:tabs>
    </w:pPr>
    <w:rPr>
      <w:sz w:val="20"/>
      <w:szCs w:val="20"/>
    </w:rPr>
  </w:style>
  <w:style w:type="paragraph" w:styleId="Testofumetto">
    <w:name w:val="Balloon Text"/>
    <w:basedOn w:val="Normale"/>
    <w:semiHidden/>
    <w:rPr>
      <w:rFonts w:ascii="Tahoma" w:hAnsi="Tahoma" w:cs="Tahoma"/>
      <w:sz w:val="16"/>
      <w:szCs w:val="16"/>
    </w:rPr>
  </w:style>
  <w:style w:type="paragraph" w:styleId="Mappadocumento">
    <w:name w:val="Document Map"/>
    <w:basedOn w:val="Normale"/>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color w:val="000000"/>
      <w:sz w:val="24"/>
      <w:szCs w:val="24"/>
      <w:lang w:val="it-IT" w:eastAsia="it-IT"/>
    </w:rPr>
  </w:style>
  <w:style w:type="character" w:styleId="Collegamentoipertestuale">
    <w:name w:val="Hyperlink"/>
    <w:uiPriority w:val="99"/>
    <w:unhideWhenUsed/>
    <w:rsid w:val="00E9245D"/>
    <w:rPr>
      <w:color w:val="0000FF"/>
      <w:u w:val="single"/>
    </w:rPr>
  </w:style>
  <w:style w:type="table" w:styleId="Grigliatabella">
    <w:name w:val="Table Grid"/>
    <w:basedOn w:val="Tabellanormale"/>
    <w:rsid w:val="0057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morientrocorpodeltesto2">
    <w:name w:val="Body Text First Indent 2"/>
    <w:basedOn w:val="Rientrocorpodeltesto"/>
    <w:link w:val="Primorientrocorpodeltesto2Carattere"/>
    <w:rsid w:val="00364B4F"/>
    <w:pPr>
      <w:widowControl/>
      <w:tabs>
        <w:tab w:val="clear" w:pos="1542"/>
      </w:tabs>
      <w:spacing w:after="120"/>
      <w:ind w:left="283" w:firstLine="210"/>
    </w:pPr>
    <w:rPr>
      <w:snapToGrid/>
    </w:rPr>
  </w:style>
  <w:style w:type="character" w:customStyle="1" w:styleId="RientrocorpodeltestoCarattere">
    <w:name w:val="Rientro corpo del testo Carattere"/>
    <w:link w:val="Rientrocorpodeltesto"/>
    <w:semiHidden/>
    <w:rsid w:val="00364B4F"/>
    <w:rPr>
      <w:snapToGrid w:val="0"/>
      <w:sz w:val="22"/>
    </w:rPr>
  </w:style>
  <w:style w:type="character" w:customStyle="1" w:styleId="Primorientrocorpodeltesto2Carattere">
    <w:name w:val="Primo rientro corpo del testo 2 Carattere"/>
    <w:link w:val="Primorientrocorpodeltesto2"/>
    <w:rsid w:val="00364B4F"/>
    <w:rPr>
      <w:snapToGrid/>
      <w:sz w:val="22"/>
    </w:rPr>
  </w:style>
  <w:style w:type="paragraph" w:customStyle="1" w:styleId="Corpodeltesto31">
    <w:name w:val="Corpo del testo 31"/>
    <w:basedOn w:val="Normale"/>
    <w:rsid w:val="00CD2FD9"/>
    <w:pPr>
      <w:widowControl w:val="0"/>
      <w:tabs>
        <w:tab w:val="left" w:pos="7245"/>
      </w:tabs>
      <w:suppressAutoHyphens/>
      <w:jc w:val="both"/>
    </w:pPr>
    <w:rPr>
      <w:sz w:val="22"/>
      <w:szCs w:val="20"/>
      <w:lang w:eastAsia="ar-SA"/>
    </w:rPr>
  </w:style>
  <w:style w:type="paragraph" w:customStyle="1" w:styleId="Premesse">
    <w:name w:val="Premesse"/>
    <w:basedOn w:val="Normale"/>
    <w:rsid w:val="00B461A9"/>
    <w:pPr>
      <w:widowControl w:val="0"/>
      <w:numPr>
        <w:numId w:val="1"/>
      </w:numPr>
      <w:suppressAutoHyphens/>
      <w:autoSpaceDN w:val="0"/>
      <w:spacing w:after="113"/>
      <w:jc w:val="both"/>
      <w:textAlignment w:val="baseline"/>
    </w:pPr>
    <w:rPr>
      <w:rFonts w:ascii="Garamond" w:eastAsia="Andale Sans UI" w:hAnsi="Garamond" w:cs="Tahoma"/>
      <w:kern w:val="3"/>
      <w:sz w:val="22"/>
      <w:lang w:eastAsia="ja-JP" w:bidi="fa-IR"/>
    </w:rPr>
  </w:style>
  <w:style w:type="numbering" w:customStyle="1" w:styleId="ElencoPremesse">
    <w:name w:val="Elenco Premesse"/>
    <w:basedOn w:val="Nessunelenco"/>
    <w:rsid w:val="00B461A9"/>
    <w:pPr>
      <w:numPr>
        <w:numId w:val="1"/>
      </w:numPr>
    </w:pPr>
  </w:style>
  <w:style w:type="table" w:customStyle="1" w:styleId="Sfondochiaro-Colore11">
    <w:name w:val="Sfondo chiaro - Colore 11"/>
    <w:basedOn w:val="Tabellanormale"/>
    <w:uiPriority w:val="60"/>
    <w:rsid w:val="001D25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1">
    <w:name w:val="Sfondo chiaro1"/>
    <w:basedOn w:val="Tabellanormale"/>
    <w:uiPriority w:val="60"/>
    <w:rsid w:val="001D255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nfasicorsivo">
    <w:name w:val="Emphasis"/>
    <w:uiPriority w:val="20"/>
    <w:qFormat/>
    <w:rsid w:val="00A27CE0"/>
    <w:rPr>
      <w:b/>
      <w:bCs/>
      <w:i w:val="0"/>
      <w:iCs w:val="0"/>
    </w:rPr>
  </w:style>
  <w:style w:type="character" w:customStyle="1" w:styleId="st1">
    <w:name w:val="st1"/>
    <w:basedOn w:val="Carpredefinitoparagrafo"/>
    <w:rsid w:val="00A27CE0"/>
  </w:style>
  <w:style w:type="character" w:styleId="Rimandocommento">
    <w:name w:val="annotation reference"/>
    <w:uiPriority w:val="99"/>
    <w:semiHidden/>
    <w:unhideWhenUsed/>
    <w:rsid w:val="00470206"/>
    <w:rPr>
      <w:sz w:val="16"/>
      <w:szCs w:val="16"/>
    </w:rPr>
  </w:style>
  <w:style w:type="paragraph" w:styleId="Testocommento">
    <w:name w:val="annotation text"/>
    <w:basedOn w:val="Normale"/>
    <w:link w:val="TestocommentoCarattere"/>
    <w:uiPriority w:val="99"/>
    <w:semiHidden/>
    <w:unhideWhenUsed/>
    <w:rsid w:val="00470206"/>
    <w:rPr>
      <w:sz w:val="20"/>
      <w:szCs w:val="20"/>
    </w:rPr>
  </w:style>
  <w:style w:type="character" w:customStyle="1" w:styleId="TestocommentoCarattere">
    <w:name w:val="Testo commento Carattere"/>
    <w:basedOn w:val="Carpredefinitoparagrafo"/>
    <w:link w:val="Testocommento"/>
    <w:uiPriority w:val="99"/>
    <w:semiHidden/>
    <w:rsid w:val="00470206"/>
  </w:style>
  <w:style w:type="paragraph" w:styleId="Revisione">
    <w:name w:val="Revision"/>
    <w:hidden/>
    <w:uiPriority w:val="99"/>
    <w:semiHidden/>
    <w:rsid w:val="001F7D0D"/>
    <w:rPr>
      <w:sz w:val="24"/>
      <w:szCs w:val="24"/>
      <w:lang w:val="it-IT" w:eastAsia="it-IT"/>
    </w:rPr>
  </w:style>
  <w:style w:type="character" w:customStyle="1" w:styleId="Corpodeltesto">
    <w:name w:val="Corpo del testo_"/>
    <w:link w:val="Corpodeltesto20"/>
    <w:rsid w:val="00B135A6"/>
    <w:rPr>
      <w:sz w:val="15"/>
      <w:szCs w:val="15"/>
      <w:shd w:val="clear" w:color="auto" w:fill="FFFFFF"/>
    </w:rPr>
  </w:style>
  <w:style w:type="character" w:customStyle="1" w:styleId="Intestazione59ptNongrassetto">
    <w:name w:val="Intestazione #5 + 9 pt;Non grassetto"/>
    <w:rsid w:val="00B135A6"/>
    <w:rPr>
      <w:rFonts w:ascii="Arial" w:eastAsia="Arial" w:hAnsi="Arial" w:cs="Arial"/>
      <w:b/>
      <w:bCs/>
      <w:i w:val="0"/>
      <w:iCs w:val="0"/>
      <w:smallCaps w:val="0"/>
      <w:strike w:val="0"/>
      <w:color w:val="000000"/>
      <w:spacing w:val="0"/>
      <w:w w:val="100"/>
      <w:position w:val="0"/>
      <w:sz w:val="18"/>
      <w:szCs w:val="18"/>
      <w:u w:val="none"/>
      <w:lang w:val="it-IT"/>
    </w:rPr>
  </w:style>
  <w:style w:type="paragraph" w:customStyle="1" w:styleId="Corpodeltesto20">
    <w:name w:val="Corpo del testo2"/>
    <w:basedOn w:val="Normale"/>
    <w:link w:val="Corpodeltesto"/>
    <w:rsid w:val="00B135A6"/>
    <w:pPr>
      <w:widowControl w:val="0"/>
      <w:shd w:val="clear" w:color="auto" w:fill="FFFFFF"/>
      <w:spacing w:line="331" w:lineRule="exact"/>
      <w:ind w:hanging="260"/>
      <w:jc w:val="right"/>
    </w:pPr>
    <w:rPr>
      <w:sz w:val="15"/>
      <w:szCs w:val="15"/>
    </w:rPr>
  </w:style>
  <w:style w:type="paragraph" w:styleId="Paragrafoelenco">
    <w:name w:val="List Paragraph"/>
    <w:basedOn w:val="Normale"/>
    <w:uiPriority w:val="34"/>
    <w:qFormat/>
    <w:rsid w:val="00B135A6"/>
    <w:pPr>
      <w:spacing w:after="200" w:line="276" w:lineRule="auto"/>
      <w:ind w:left="720"/>
      <w:contextualSpacing/>
    </w:pPr>
    <w:rPr>
      <w:rFonts w:ascii="Calibri" w:hAnsi="Calibri"/>
      <w:sz w:val="22"/>
      <w:szCs w:val="22"/>
    </w:rPr>
  </w:style>
  <w:style w:type="table" w:styleId="Tabellatema">
    <w:name w:val="Table Theme"/>
    <w:basedOn w:val="Tabellanormale"/>
    <w:unhideWhenUsed/>
    <w:rsid w:val="00DD65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semiHidden/>
    <w:rsid w:val="00E85969"/>
    <w:rPr>
      <w:b/>
      <w:vertAlign w:val="superscript"/>
    </w:rPr>
  </w:style>
  <w:style w:type="paragraph" w:styleId="Soggettocommento">
    <w:name w:val="annotation subject"/>
    <w:basedOn w:val="Testocommento"/>
    <w:next w:val="Testocommento"/>
    <w:link w:val="SoggettocommentoCarattere"/>
    <w:uiPriority w:val="99"/>
    <w:semiHidden/>
    <w:unhideWhenUsed/>
    <w:rsid w:val="0093358C"/>
    <w:rPr>
      <w:b/>
      <w:bCs/>
    </w:rPr>
  </w:style>
  <w:style w:type="character" w:customStyle="1" w:styleId="SoggettocommentoCarattere">
    <w:name w:val="Soggetto commento Carattere"/>
    <w:link w:val="Soggettocommento"/>
    <w:uiPriority w:val="99"/>
    <w:semiHidden/>
    <w:rsid w:val="0093358C"/>
    <w:rPr>
      <w:b/>
      <w:bCs/>
      <w:lang w:val="it-IT" w:eastAsia="it-IT"/>
    </w:rPr>
  </w:style>
  <w:style w:type="character" w:customStyle="1" w:styleId="IntestazioneCarattere">
    <w:name w:val="Intestazione Carattere"/>
    <w:basedOn w:val="Carpredefinitoparagrafo"/>
    <w:link w:val="Intestazione"/>
    <w:uiPriority w:val="99"/>
    <w:rsid w:val="0012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47">
      <w:bodyDiv w:val="1"/>
      <w:marLeft w:val="0"/>
      <w:marRight w:val="0"/>
      <w:marTop w:val="0"/>
      <w:marBottom w:val="0"/>
      <w:divBdr>
        <w:top w:val="none" w:sz="0" w:space="0" w:color="auto"/>
        <w:left w:val="none" w:sz="0" w:space="0" w:color="auto"/>
        <w:bottom w:val="none" w:sz="0" w:space="0" w:color="auto"/>
        <w:right w:val="none" w:sz="0" w:space="0" w:color="auto"/>
      </w:divBdr>
    </w:div>
    <w:div w:id="861695">
      <w:bodyDiv w:val="1"/>
      <w:marLeft w:val="0"/>
      <w:marRight w:val="0"/>
      <w:marTop w:val="0"/>
      <w:marBottom w:val="0"/>
      <w:divBdr>
        <w:top w:val="none" w:sz="0" w:space="0" w:color="auto"/>
        <w:left w:val="none" w:sz="0" w:space="0" w:color="auto"/>
        <w:bottom w:val="none" w:sz="0" w:space="0" w:color="auto"/>
        <w:right w:val="none" w:sz="0" w:space="0" w:color="auto"/>
      </w:divBdr>
    </w:div>
    <w:div w:id="12611250">
      <w:bodyDiv w:val="1"/>
      <w:marLeft w:val="0"/>
      <w:marRight w:val="0"/>
      <w:marTop w:val="0"/>
      <w:marBottom w:val="0"/>
      <w:divBdr>
        <w:top w:val="none" w:sz="0" w:space="0" w:color="auto"/>
        <w:left w:val="none" w:sz="0" w:space="0" w:color="auto"/>
        <w:bottom w:val="none" w:sz="0" w:space="0" w:color="auto"/>
        <w:right w:val="none" w:sz="0" w:space="0" w:color="auto"/>
      </w:divBdr>
    </w:div>
    <w:div w:id="19935012">
      <w:bodyDiv w:val="1"/>
      <w:marLeft w:val="0"/>
      <w:marRight w:val="0"/>
      <w:marTop w:val="0"/>
      <w:marBottom w:val="0"/>
      <w:divBdr>
        <w:top w:val="none" w:sz="0" w:space="0" w:color="auto"/>
        <w:left w:val="none" w:sz="0" w:space="0" w:color="auto"/>
        <w:bottom w:val="none" w:sz="0" w:space="0" w:color="auto"/>
        <w:right w:val="none" w:sz="0" w:space="0" w:color="auto"/>
      </w:divBdr>
    </w:div>
    <w:div w:id="25103902">
      <w:bodyDiv w:val="1"/>
      <w:marLeft w:val="0"/>
      <w:marRight w:val="0"/>
      <w:marTop w:val="0"/>
      <w:marBottom w:val="0"/>
      <w:divBdr>
        <w:top w:val="none" w:sz="0" w:space="0" w:color="auto"/>
        <w:left w:val="none" w:sz="0" w:space="0" w:color="auto"/>
        <w:bottom w:val="none" w:sz="0" w:space="0" w:color="auto"/>
        <w:right w:val="none" w:sz="0" w:space="0" w:color="auto"/>
      </w:divBdr>
    </w:div>
    <w:div w:id="33628190">
      <w:bodyDiv w:val="1"/>
      <w:marLeft w:val="0"/>
      <w:marRight w:val="0"/>
      <w:marTop w:val="0"/>
      <w:marBottom w:val="0"/>
      <w:divBdr>
        <w:top w:val="none" w:sz="0" w:space="0" w:color="auto"/>
        <w:left w:val="none" w:sz="0" w:space="0" w:color="auto"/>
        <w:bottom w:val="none" w:sz="0" w:space="0" w:color="auto"/>
        <w:right w:val="none" w:sz="0" w:space="0" w:color="auto"/>
      </w:divBdr>
    </w:div>
    <w:div w:id="61103122">
      <w:bodyDiv w:val="1"/>
      <w:marLeft w:val="0"/>
      <w:marRight w:val="0"/>
      <w:marTop w:val="0"/>
      <w:marBottom w:val="0"/>
      <w:divBdr>
        <w:top w:val="none" w:sz="0" w:space="0" w:color="auto"/>
        <w:left w:val="none" w:sz="0" w:space="0" w:color="auto"/>
        <w:bottom w:val="none" w:sz="0" w:space="0" w:color="auto"/>
        <w:right w:val="none" w:sz="0" w:space="0" w:color="auto"/>
      </w:divBdr>
    </w:div>
    <w:div w:id="77949887">
      <w:bodyDiv w:val="1"/>
      <w:marLeft w:val="0"/>
      <w:marRight w:val="0"/>
      <w:marTop w:val="0"/>
      <w:marBottom w:val="0"/>
      <w:divBdr>
        <w:top w:val="none" w:sz="0" w:space="0" w:color="auto"/>
        <w:left w:val="none" w:sz="0" w:space="0" w:color="auto"/>
        <w:bottom w:val="none" w:sz="0" w:space="0" w:color="auto"/>
        <w:right w:val="none" w:sz="0" w:space="0" w:color="auto"/>
      </w:divBdr>
    </w:div>
    <w:div w:id="92212158">
      <w:bodyDiv w:val="1"/>
      <w:marLeft w:val="0"/>
      <w:marRight w:val="0"/>
      <w:marTop w:val="0"/>
      <w:marBottom w:val="0"/>
      <w:divBdr>
        <w:top w:val="none" w:sz="0" w:space="0" w:color="auto"/>
        <w:left w:val="none" w:sz="0" w:space="0" w:color="auto"/>
        <w:bottom w:val="none" w:sz="0" w:space="0" w:color="auto"/>
        <w:right w:val="none" w:sz="0" w:space="0" w:color="auto"/>
      </w:divBdr>
    </w:div>
    <w:div w:id="94836290">
      <w:bodyDiv w:val="1"/>
      <w:marLeft w:val="0"/>
      <w:marRight w:val="0"/>
      <w:marTop w:val="0"/>
      <w:marBottom w:val="0"/>
      <w:divBdr>
        <w:top w:val="none" w:sz="0" w:space="0" w:color="auto"/>
        <w:left w:val="none" w:sz="0" w:space="0" w:color="auto"/>
        <w:bottom w:val="none" w:sz="0" w:space="0" w:color="auto"/>
        <w:right w:val="none" w:sz="0" w:space="0" w:color="auto"/>
      </w:divBdr>
    </w:div>
    <w:div w:id="96026869">
      <w:bodyDiv w:val="1"/>
      <w:marLeft w:val="0"/>
      <w:marRight w:val="0"/>
      <w:marTop w:val="0"/>
      <w:marBottom w:val="0"/>
      <w:divBdr>
        <w:top w:val="none" w:sz="0" w:space="0" w:color="auto"/>
        <w:left w:val="none" w:sz="0" w:space="0" w:color="auto"/>
        <w:bottom w:val="none" w:sz="0" w:space="0" w:color="auto"/>
        <w:right w:val="none" w:sz="0" w:space="0" w:color="auto"/>
      </w:divBdr>
    </w:div>
    <w:div w:id="128088242">
      <w:bodyDiv w:val="1"/>
      <w:marLeft w:val="0"/>
      <w:marRight w:val="0"/>
      <w:marTop w:val="0"/>
      <w:marBottom w:val="0"/>
      <w:divBdr>
        <w:top w:val="none" w:sz="0" w:space="0" w:color="auto"/>
        <w:left w:val="none" w:sz="0" w:space="0" w:color="auto"/>
        <w:bottom w:val="none" w:sz="0" w:space="0" w:color="auto"/>
        <w:right w:val="none" w:sz="0" w:space="0" w:color="auto"/>
      </w:divBdr>
    </w:div>
    <w:div w:id="167061530">
      <w:bodyDiv w:val="1"/>
      <w:marLeft w:val="0"/>
      <w:marRight w:val="0"/>
      <w:marTop w:val="0"/>
      <w:marBottom w:val="0"/>
      <w:divBdr>
        <w:top w:val="none" w:sz="0" w:space="0" w:color="auto"/>
        <w:left w:val="none" w:sz="0" w:space="0" w:color="auto"/>
        <w:bottom w:val="none" w:sz="0" w:space="0" w:color="auto"/>
        <w:right w:val="none" w:sz="0" w:space="0" w:color="auto"/>
      </w:divBdr>
    </w:div>
    <w:div w:id="208958002">
      <w:bodyDiv w:val="1"/>
      <w:marLeft w:val="0"/>
      <w:marRight w:val="0"/>
      <w:marTop w:val="0"/>
      <w:marBottom w:val="0"/>
      <w:divBdr>
        <w:top w:val="none" w:sz="0" w:space="0" w:color="auto"/>
        <w:left w:val="none" w:sz="0" w:space="0" w:color="auto"/>
        <w:bottom w:val="none" w:sz="0" w:space="0" w:color="auto"/>
        <w:right w:val="none" w:sz="0" w:space="0" w:color="auto"/>
      </w:divBdr>
    </w:div>
    <w:div w:id="221714467">
      <w:bodyDiv w:val="1"/>
      <w:marLeft w:val="0"/>
      <w:marRight w:val="0"/>
      <w:marTop w:val="0"/>
      <w:marBottom w:val="0"/>
      <w:divBdr>
        <w:top w:val="none" w:sz="0" w:space="0" w:color="auto"/>
        <w:left w:val="none" w:sz="0" w:space="0" w:color="auto"/>
        <w:bottom w:val="none" w:sz="0" w:space="0" w:color="auto"/>
        <w:right w:val="none" w:sz="0" w:space="0" w:color="auto"/>
      </w:divBdr>
    </w:div>
    <w:div w:id="251470054">
      <w:bodyDiv w:val="1"/>
      <w:marLeft w:val="0"/>
      <w:marRight w:val="0"/>
      <w:marTop w:val="0"/>
      <w:marBottom w:val="0"/>
      <w:divBdr>
        <w:top w:val="none" w:sz="0" w:space="0" w:color="auto"/>
        <w:left w:val="none" w:sz="0" w:space="0" w:color="auto"/>
        <w:bottom w:val="none" w:sz="0" w:space="0" w:color="auto"/>
        <w:right w:val="none" w:sz="0" w:space="0" w:color="auto"/>
      </w:divBdr>
    </w:div>
    <w:div w:id="279800232">
      <w:bodyDiv w:val="1"/>
      <w:marLeft w:val="0"/>
      <w:marRight w:val="0"/>
      <w:marTop w:val="0"/>
      <w:marBottom w:val="0"/>
      <w:divBdr>
        <w:top w:val="none" w:sz="0" w:space="0" w:color="auto"/>
        <w:left w:val="none" w:sz="0" w:space="0" w:color="auto"/>
        <w:bottom w:val="none" w:sz="0" w:space="0" w:color="auto"/>
        <w:right w:val="none" w:sz="0" w:space="0" w:color="auto"/>
      </w:divBdr>
    </w:div>
    <w:div w:id="285085359">
      <w:bodyDiv w:val="1"/>
      <w:marLeft w:val="0"/>
      <w:marRight w:val="0"/>
      <w:marTop w:val="0"/>
      <w:marBottom w:val="0"/>
      <w:divBdr>
        <w:top w:val="none" w:sz="0" w:space="0" w:color="auto"/>
        <w:left w:val="none" w:sz="0" w:space="0" w:color="auto"/>
        <w:bottom w:val="none" w:sz="0" w:space="0" w:color="auto"/>
        <w:right w:val="none" w:sz="0" w:space="0" w:color="auto"/>
      </w:divBdr>
    </w:div>
    <w:div w:id="311328425">
      <w:bodyDiv w:val="1"/>
      <w:marLeft w:val="0"/>
      <w:marRight w:val="0"/>
      <w:marTop w:val="0"/>
      <w:marBottom w:val="0"/>
      <w:divBdr>
        <w:top w:val="none" w:sz="0" w:space="0" w:color="auto"/>
        <w:left w:val="none" w:sz="0" w:space="0" w:color="auto"/>
        <w:bottom w:val="none" w:sz="0" w:space="0" w:color="auto"/>
        <w:right w:val="none" w:sz="0" w:space="0" w:color="auto"/>
      </w:divBdr>
    </w:div>
    <w:div w:id="347952993">
      <w:bodyDiv w:val="1"/>
      <w:marLeft w:val="0"/>
      <w:marRight w:val="0"/>
      <w:marTop w:val="0"/>
      <w:marBottom w:val="0"/>
      <w:divBdr>
        <w:top w:val="none" w:sz="0" w:space="0" w:color="auto"/>
        <w:left w:val="none" w:sz="0" w:space="0" w:color="auto"/>
        <w:bottom w:val="none" w:sz="0" w:space="0" w:color="auto"/>
        <w:right w:val="none" w:sz="0" w:space="0" w:color="auto"/>
      </w:divBdr>
    </w:div>
    <w:div w:id="362756941">
      <w:bodyDiv w:val="1"/>
      <w:marLeft w:val="0"/>
      <w:marRight w:val="0"/>
      <w:marTop w:val="0"/>
      <w:marBottom w:val="0"/>
      <w:divBdr>
        <w:top w:val="none" w:sz="0" w:space="0" w:color="auto"/>
        <w:left w:val="none" w:sz="0" w:space="0" w:color="auto"/>
        <w:bottom w:val="none" w:sz="0" w:space="0" w:color="auto"/>
        <w:right w:val="none" w:sz="0" w:space="0" w:color="auto"/>
      </w:divBdr>
    </w:div>
    <w:div w:id="367340582">
      <w:bodyDiv w:val="1"/>
      <w:marLeft w:val="0"/>
      <w:marRight w:val="0"/>
      <w:marTop w:val="0"/>
      <w:marBottom w:val="0"/>
      <w:divBdr>
        <w:top w:val="none" w:sz="0" w:space="0" w:color="auto"/>
        <w:left w:val="none" w:sz="0" w:space="0" w:color="auto"/>
        <w:bottom w:val="none" w:sz="0" w:space="0" w:color="auto"/>
        <w:right w:val="none" w:sz="0" w:space="0" w:color="auto"/>
      </w:divBdr>
    </w:div>
    <w:div w:id="378094589">
      <w:bodyDiv w:val="1"/>
      <w:marLeft w:val="0"/>
      <w:marRight w:val="0"/>
      <w:marTop w:val="0"/>
      <w:marBottom w:val="0"/>
      <w:divBdr>
        <w:top w:val="none" w:sz="0" w:space="0" w:color="auto"/>
        <w:left w:val="none" w:sz="0" w:space="0" w:color="auto"/>
        <w:bottom w:val="none" w:sz="0" w:space="0" w:color="auto"/>
        <w:right w:val="none" w:sz="0" w:space="0" w:color="auto"/>
      </w:divBdr>
    </w:div>
    <w:div w:id="384794114">
      <w:bodyDiv w:val="1"/>
      <w:marLeft w:val="0"/>
      <w:marRight w:val="0"/>
      <w:marTop w:val="0"/>
      <w:marBottom w:val="0"/>
      <w:divBdr>
        <w:top w:val="none" w:sz="0" w:space="0" w:color="auto"/>
        <w:left w:val="none" w:sz="0" w:space="0" w:color="auto"/>
        <w:bottom w:val="none" w:sz="0" w:space="0" w:color="auto"/>
        <w:right w:val="none" w:sz="0" w:space="0" w:color="auto"/>
      </w:divBdr>
    </w:div>
    <w:div w:id="384960276">
      <w:bodyDiv w:val="1"/>
      <w:marLeft w:val="0"/>
      <w:marRight w:val="0"/>
      <w:marTop w:val="0"/>
      <w:marBottom w:val="0"/>
      <w:divBdr>
        <w:top w:val="none" w:sz="0" w:space="0" w:color="auto"/>
        <w:left w:val="none" w:sz="0" w:space="0" w:color="auto"/>
        <w:bottom w:val="none" w:sz="0" w:space="0" w:color="auto"/>
        <w:right w:val="none" w:sz="0" w:space="0" w:color="auto"/>
      </w:divBdr>
    </w:div>
    <w:div w:id="390081973">
      <w:bodyDiv w:val="1"/>
      <w:marLeft w:val="0"/>
      <w:marRight w:val="0"/>
      <w:marTop w:val="0"/>
      <w:marBottom w:val="0"/>
      <w:divBdr>
        <w:top w:val="none" w:sz="0" w:space="0" w:color="auto"/>
        <w:left w:val="none" w:sz="0" w:space="0" w:color="auto"/>
        <w:bottom w:val="none" w:sz="0" w:space="0" w:color="auto"/>
        <w:right w:val="none" w:sz="0" w:space="0" w:color="auto"/>
      </w:divBdr>
    </w:div>
    <w:div w:id="402457685">
      <w:bodyDiv w:val="1"/>
      <w:marLeft w:val="0"/>
      <w:marRight w:val="0"/>
      <w:marTop w:val="0"/>
      <w:marBottom w:val="0"/>
      <w:divBdr>
        <w:top w:val="none" w:sz="0" w:space="0" w:color="auto"/>
        <w:left w:val="none" w:sz="0" w:space="0" w:color="auto"/>
        <w:bottom w:val="none" w:sz="0" w:space="0" w:color="auto"/>
        <w:right w:val="none" w:sz="0" w:space="0" w:color="auto"/>
      </w:divBdr>
    </w:div>
    <w:div w:id="426774091">
      <w:bodyDiv w:val="1"/>
      <w:marLeft w:val="0"/>
      <w:marRight w:val="0"/>
      <w:marTop w:val="0"/>
      <w:marBottom w:val="0"/>
      <w:divBdr>
        <w:top w:val="none" w:sz="0" w:space="0" w:color="auto"/>
        <w:left w:val="none" w:sz="0" w:space="0" w:color="auto"/>
        <w:bottom w:val="none" w:sz="0" w:space="0" w:color="auto"/>
        <w:right w:val="none" w:sz="0" w:space="0" w:color="auto"/>
      </w:divBdr>
    </w:div>
    <w:div w:id="447048743">
      <w:bodyDiv w:val="1"/>
      <w:marLeft w:val="0"/>
      <w:marRight w:val="0"/>
      <w:marTop w:val="0"/>
      <w:marBottom w:val="0"/>
      <w:divBdr>
        <w:top w:val="none" w:sz="0" w:space="0" w:color="auto"/>
        <w:left w:val="none" w:sz="0" w:space="0" w:color="auto"/>
        <w:bottom w:val="none" w:sz="0" w:space="0" w:color="auto"/>
        <w:right w:val="none" w:sz="0" w:space="0" w:color="auto"/>
      </w:divBdr>
    </w:div>
    <w:div w:id="458383008">
      <w:bodyDiv w:val="1"/>
      <w:marLeft w:val="0"/>
      <w:marRight w:val="0"/>
      <w:marTop w:val="0"/>
      <w:marBottom w:val="0"/>
      <w:divBdr>
        <w:top w:val="none" w:sz="0" w:space="0" w:color="auto"/>
        <w:left w:val="none" w:sz="0" w:space="0" w:color="auto"/>
        <w:bottom w:val="none" w:sz="0" w:space="0" w:color="auto"/>
        <w:right w:val="none" w:sz="0" w:space="0" w:color="auto"/>
      </w:divBdr>
    </w:div>
    <w:div w:id="459540799">
      <w:bodyDiv w:val="1"/>
      <w:marLeft w:val="0"/>
      <w:marRight w:val="0"/>
      <w:marTop w:val="0"/>
      <w:marBottom w:val="0"/>
      <w:divBdr>
        <w:top w:val="none" w:sz="0" w:space="0" w:color="auto"/>
        <w:left w:val="none" w:sz="0" w:space="0" w:color="auto"/>
        <w:bottom w:val="none" w:sz="0" w:space="0" w:color="auto"/>
        <w:right w:val="none" w:sz="0" w:space="0" w:color="auto"/>
      </w:divBdr>
    </w:div>
    <w:div w:id="463276729">
      <w:bodyDiv w:val="1"/>
      <w:marLeft w:val="0"/>
      <w:marRight w:val="0"/>
      <w:marTop w:val="0"/>
      <w:marBottom w:val="0"/>
      <w:divBdr>
        <w:top w:val="none" w:sz="0" w:space="0" w:color="auto"/>
        <w:left w:val="none" w:sz="0" w:space="0" w:color="auto"/>
        <w:bottom w:val="none" w:sz="0" w:space="0" w:color="auto"/>
        <w:right w:val="none" w:sz="0" w:space="0" w:color="auto"/>
      </w:divBdr>
    </w:div>
    <w:div w:id="467935016">
      <w:bodyDiv w:val="1"/>
      <w:marLeft w:val="0"/>
      <w:marRight w:val="0"/>
      <w:marTop w:val="0"/>
      <w:marBottom w:val="0"/>
      <w:divBdr>
        <w:top w:val="none" w:sz="0" w:space="0" w:color="auto"/>
        <w:left w:val="none" w:sz="0" w:space="0" w:color="auto"/>
        <w:bottom w:val="none" w:sz="0" w:space="0" w:color="auto"/>
        <w:right w:val="none" w:sz="0" w:space="0" w:color="auto"/>
      </w:divBdr>
    </w:div>
    <w:div w:id="482740976">
      <w:bodyDiv w:val="1"/>
      <w:marLeft w:val="0"/>
      <w:marRight w:val="0"/>
      <w:marTop w:val="0"/>
      <w:marBottom w:val="0"/>
      <w:divBdr>
        <w:top w:val="none" w:sz="0" w:space="0" w:color="auto"/>
        <w:left w:val="none" w:sz="0" w:space="0" w:color="auto"/>
        <w:bottom w:val="none" w:sz="0" w:space="0" w:color="auto"/>
        <w:right w:val="none" w:sz="0" w:space="0" w:color="auto"/>
      </w:divBdr>
    </w:div>
    <w:div w:id="505286037">
      <w:bodyDiv w:val="1"/>
      <w:marLeft w:val="0"/>
      <w:marRight w:val="0"/>
      <w:marTop w:val="0"/>
      <w:marBottom w:val="0"/>
      <w:divBdr>
        <w:top w:val="none" w:sz="0" w:space="0" w:color="auto"/>
        <w:left w:val="none" w:sz="0" w:space="0" w:color="auto"/>
        <w:bottom w:val="none" w:sz="0" w:space="0" w:color="auto"/>
        <w:right w:val="none" w:sz="0" w:space="0" w:color="auto"/>
      </w:divBdr>
    </w:div>
    <w:div w:id="505748590">
      <w:bodyDiv w:val="1"/>
      <w:marLeft w:val="0"/>
      <w:marRight w:val="0"/>
      <w:marTop w:val="0"/>
      <w:marBottom w:val="0"/>
      <w:divBdr>
        <w:top w:val="none" w:sz="0" w:space="0" w:color="auto"/>
        <w:left w:val="none" w:sz="0" w:space="0" w:color="auto"/>
        <w:bottom w:val="none" w:sz="0" w:space="0" w:color="auto"/>
        <w:right w:val="none" w:sz="0" w:space="0" w:color="auto"/>
      </w:divBdr>
    </w:div>
    <w:div w:id="511183396">
      <w:bodyDiv w:val="1"/>
      <w:marLeft w:val="0"/>
      <w:marRight w:val="0"/>
      <w:marTop w:val="0"/>
      <w:marBottom w:val="0"/>
      <w:divBdr>
        <w:top w:val="none" w:sz="0" w:space="0" w:color="auto"/>
        <w:left w:val="none" w:sz="0" w:space="0" w:color="auto"/>
        <w:bottom w:val="none" w:sz="0" w:space="0" w:color="auto"/>
        <w:right w:val="none" w:sz="0" w:space="0" w:color="auto"/>
      </w:divBdr>
    </w:div>
    <w:div w:id="516188798">
      <w:bodyDiv w:val="1"/>
      <w:marLeft w:val="0"/>
      <w:marRight w:val="0"/>
      <w:marTop w:val="0"/>
      <w:marBottom w:val="0"/>
      <w:divBdr>
        <w:top w:val="none" w:sz="0" w:space="0" w:color="auto"/>
        <w:left w:val="none" w:sz="0" w:space="0" w:color="auto"/>
        <w:bottom w:val="none" w:sz="0" w:space="0" w:color="auto"/>
        <w:right w:val="none" w:sz="0" w:space="0" w:color="auto"/>
      </w:divBdr>
    </w:div>
    <w:div w:id="521213230">
      <w:bodyDiv w:val="1"/>
      <w:marLeft w:val="0"/>
      <w:marRight w:val="0"/>
      <w:marTop w:val="0"/>
      <w:marBottom w:val="0"/>
      <w:divBdr>
        <w:top w:val="none" w:sz="0" w:space="0" w:color="auto"/>
        <w:left w:val="none" w:sz="0" w:space="0" w:color="auto"/>
        <w:bottom w:val="none" w:sz="0" w:space="0" w:color="auto"/>
        <w:right w:val="none" w:sz="0" w:space="0" w:color="auto"/>
      </w:divBdr>
    </w:div>
    <w:div w:id="528179170">
      <w:bodyDiv w:val="1"/>
      <w:marLeft w:val="0"/>
      <w:marRight w:val="0"/>
      <w:marTop w:val="0"/>
      <w:marBottom w:val="0"/>
      <w:divBdr>
        <w:top w:val="none" w:sz="0" w:space="0" w:color="auto"/>
        <w:left w:val="none" w:sz="0" w:space="0" w:color="auto"/>
        <w:bottom w:val="none" w:sz="0" w:space="0" w:color="auto"/>
        <w:right w:val="none" w:sz="0" w:space="0" w:color="auto"/>
      </w:divBdr>
    </w:div>
    <w:div w:id="532498100">
      <w:bodyDiv w:val="1"/>
      <w:marLeft w:val="0"/>
      <w:marRight w:val="0"/>
      <w:marTop w:val="0"/>
      <w:marBottom w:val="0"/>
      <w:divBdr>
        <w:top w:val="none" w:sz="0" w:space="0" w:color="auto"/>
        <w:left w:val="none" w:sz="0" w:space="0" w:color="auto"/>
        <w:bottom w:val="none" w:sz="0" w:space="0" w:color="auto"/>
        <w:right w:val="none" w:sz="0" w:space="0" w:color="auto"/>
      </w:divBdr>
    </w:div>
    <w:div w:id="546920192">
      <w:bodyDiv w:val="1"/>
      <w:marLeft w:val="0"/>
      <w:marRight w:val="0"/>
      <w:marTop w:val="0"/>
      <w:marBottom w:val="0"/>
      <w:divBdr>
        <w:top w:val="none" w:sz="0" w:space="0" w:color="auto"/>
        <w:left w:val="none" w:sz="0" w:space="0" w:color="auto"/>
        <w:bottom w:val="none" w:sz="0" w:space="0" w:color="auto"/>
        <w:right w:val="none" w:sz="0" w:space="0" w:color="auto"/>
      </w:divBdr>
    </w:div>
    <w:div w:id="587270366">
      <w:bodyDiv w:val="1"/>
      <w:marLeft w:val="0"/>
      <w:marRight w:val="0"/>
      <w:marTop w:val="0"/>
      <w:marBottom w:val="0"/>
      <w:divBdr>
        <w:top w:val="none" w:sz="0" w:space="0" w:color="auto"/>
        <w:left w:val="none" w:sz="0" w:space="0" w:color="auto"/>
        <w:bottom w:val="none" w:sz="0" w:space="0" w:color="auto"/>
        <w:right w:val="none" w:sz="0" w:space="0" w:color="auto"/>
      </w:divBdr>
    </w:div>
    <w:div w:id="588776946">
      <w:bodyDiv w:val="1"/>
      <w:marLeft w:val="0"/>
      <w:marRight w:val="0"/>
      <w:marTop w:val="0"/>
      <w:marBottom w:val="0"/>
      <w:divBdr>
        <w:top w:val="none" w:sz="0" w:space="0" w:color="auto"/>
        <w:left w:val="none" w:sz="0" w:space="0" w:color="auto"/>
        <w:bottom w:val="none" w:sz="0" w:space="0" w:color="auto"/>
        <w:right w:val="none" w:sz="0" w:space="0" w:color="auto"/>
      </w:divBdr>
    </w:div>
    <w:div w:id="589311945">
      <w:bodyDiv w:val="1"/>
      <w:marLeft w:val="0"/>
      <w:marRight w:val="0"/>
      <w:marTop w:val="0"/>
      <w:marBottom w:val="0"/>
      <w:divBdr>
        <w:top w:val="none" w:sz="0" w:space="0" w:color="auto"/>
        <w:left w:val="none" w:sz="0" w:space="0" w:color="auto"/>
        <w:bottom w:val="none" w:sz="0" w:space="0" w:color="auto"/>
        <w:right w:val="none" w:sz="0" w:space="0" w:color="auto"/>
      </w:divBdr>
    </w:div>
    <w:div w:id="599412663">
      <w:bodyDiv w:val="1"/>
      <w:marLeft w:val="0"/>
      <w:marRight w:val="0"/>
      <w:marTop w:val="0"/>
      <w:marBottom w:val="0"/>
      <w:divBdr>
        <w:top w:val="none" w:sz="0" w:space="0" w:color="auto"/>
        <w:left w:val="none" w:sz="0" w:space="0" w:color="auto"/>
        <w:bottom w:val="none" w:sz="0" w:space="0" w:color="auto"/>
        <w:right w:val="none" w:sz="0" w:space="0" w:color="auto"/>
      </w:divBdr>
    </w:div>
    <w:div w:id="605036686">
      <w:bodyDiv w:val="1"/>
      <w:marLeft w:val="0"/>
      <w:marRight w:val="0"/>
      <w:marTop w:val="0"/>
      <w:marBottom w:val="0"/>
      <w:divBdr>
        <w:top w:val="none" w:sz="0" w:space="0" w:color="auto"/>
        <w:left w:val="none" w:sz="0" w:space="0" w:color="auto"/>
        <w:bottom w:val="none" w:sz="0" w:space="0" w:color="auto"/>
        <w:right w:val="none" w:sz="0" w:space="0" w:color="auto"/>
      </w:divBdr>
    </w:div>
    <w:div w:id="607275581">
      <w:bodyDiv w:val="1"/>
      <w:marLeft w:val="0"/>
      <w:marRight w:val="0"/>
      <w:marTop w:val="0"/>
      <w:marBottom w:val="0"/>
      <w:divBdr>
        <w:top w:val="none" w:sz="0" w:space="0" w:color="auto"/>
        <w:left w:val="none" w:sz="0" w:space="0" w:color="auto"/>
        <w:bottom w:val="none" w:sz="0" w:space="0" w:color="auto"/>
        <w:right w:val="none" w:sz="0" w:space="0" w:color="auto"/>
      </w:divBdr>
    </w:div>
    <w:div w:id="628900904">
      <w:bodyDiv w:val="1"/>
      <w:marLeft w:val="0"/>
      <w:marRight w:val="0"/>
      <w:marTop w:val="0"/>
      <w:marBottom w:val="0"/>
      <w:divBdr>
        <w:top w:val="none" w:sz="0" w:space="0" w:color="auto"/>
        <w:left w:val="none" w:sz="0" w:space="0" w:color="auto"/>
        <w:bottom w:val="none" w:sz="0" w:space="0" w:color="auto"/>
        <w:right w:val="none" w:sz="0" w:space="0" w:color="auto"/>
      </w:divBdr>
    </w:div>
    <w:div w:id="629283513">
      <w:bodyDiv w:val="1"/>
      <w:marLeft w:val="0"/>
      <w:marRight w:val="0"/>
      <w:marTop w:val="0"/>
      <w:marBottom w:val="0"/>
      <w:divBdr>
        <w:top w:val="none" w:sz="0" w:space="0" w:color="auto"/>
        <w:left w:val="none" w:sz="0" w:space="0" w:color="auto"/>
        <w:bottom w:val="none" w:sz="0" w:space="0" w:color="auto"/>
        <w:right w:val="none" w:sz="0" w:space="0" w:color="auto"/>
      </w:divBdr>
    </w:div>
    <w:div w:id="639505626">
      <w:bodyDiv w:val="1"/>
      <w:marLeft w:val="0"/>
      <w:marRight w:val="0"/>
      <w:marTop w:val="0"/>
      <w:marBottom w:val="0"/>
      <w:divBdr>
        <w:top w:val="none" w:sz="0" w:space="0" w:color="auto"/>
        <w:left w:val="none" w:sz="0" w:space="0" w:color="auto"/>
        <w:bottom w:val="none" w:sz="0" w:space="0" w:color="auto"/>
        <w:right w:val="none" w:sz="0" w:space="0" w:color="auto"/>
      </w:divBdr>
    </w:div>
    <w:div w:id="643437159">
      <w:bodyDiv w:val="1"/>
      <w:marLeft w:val="0"/>
      <w:marRight w:val="0"/>
      <w:marTop w:val="0"/>
      <w:marBottom w:val="0"/>
      <w:divBdr>
        <w:top w:val="none" w:sz="0" w:space="0" w:color="auto"/>
        <w:left w:val="none" w:sz="0" w:space="0" w:color="auto"/>
        <w:bottom w:val="none" w:sz="0" w:space="0" w:color="auto"/>
        <w:right w:val="none" w:sz="0" w:space="0" w:color="auto"/>
      </w:divBdr>
    </w:div>
    <w:div w:id="652877552">
      <w:bodyDiv w:val="1"/>
      <w:marLeft w:val="0"/>
      <w:marRight w:val="0"/>
      <w:marTop w:val="0"/>
      <w:marBottom w:val="0"/>
      <w:divBdr>
        <w:top w:val="none" w:sz="0" w:space="0" w:color="auto"/>
        <w:left w:val="none" w:sz="0" w:space="0" w:color="auto"/>
        <w:bottom w:val="none" w:sz="0" w:space="0" w:color="auto"/>
        <w:right w:val="none" w:sz="0" w:space="0" w:color="auto"/>
      </w:divBdr>
    </w:div>
    <w:div w:id="674846301">
      <w:bodyDiv w:val="1"/>
      <w:marLeft w:val="0"/>
      <w:marRight w:val="0"/>
      <w:marTop w:val="0"/>
      <w:marBottom w:val="0"/>
      <w:divBdr>
        <w:top w:val="none" w:sz="0" w:space="0" w:color="auto"/>
        <w:left w:val="none" w:sz="0" w:space="0" w:color="auto"/>
        <w:bottom w:val="none" w:sz="0" w:space="0" w:color="auto"/>
        <w:right w:val="none" w:sz="0" w:space="0" w:color="auto"/>
      </w:divBdr>
    </w:div>
    <w:div w:id="682050163">
      <w:bodyDiv w:val="1"/>
      <w:marLeft w:val="0"/>
      <w:marRight w:val="0"/>
      <w:marTop w:val="0"/>
      <w:marBottom w:val="0"/>
      <w:divBdr>
        <w:top w:val="none" w:sz="0" w:space="0" w:color="auto"/>
        <w:left w:val="none" w:sz="0" w:space="0" w:color="auto"/>
        <w:bottom w:val="none" w:sz="0" w:space="0" w:color="auto"/>
        <w:right w:val="none" w:sz="0" w:space="0" w:color="auto"/>
      </w:divBdr>
    </w:div>
    <w:div w:id="691109732">
      <w:bodyDiv w:val="1"/>
      <w:marLeft w:val="0"/>
      <w:marRight w:val="0"/>
      <w:marTop w:val="0"/>
      <w:marBottom w:val="0"/>
      <w:divBdr>
        <w:top w:val="none" w:sz="0" w:space="0" w:color="auto"/>
        <w:left w:val="none" w:sz="0" w:space="0" w:color="auto"/>
        <w:bottom w:val="none" w:sz="0" w:space="0" w:color="auto"/>
        <w:right w:val="none" w:sz="0" w:space="0" w:color="auto"/>
      </w:divBdr>
    </w:div>
    <w:div w:id="714693844">
      <w:bodyDiv w:val="1"/>
      <w:marLeft w:val="0"/>
      <w:marRight w:val="0"/>
      <w:marTop w:val="0"/>
      <w:marBottom w:val="0"/>
      <w:divBdr>
        <w:top w:val="none" w:sz="0" w:space="0" w:color="auto"/>
        <w:left w:val="none" w:sz="0" w:space="0" w:color="auto"/>
        <w:bottom w:val="none" w:sz="0" w:space="0" w:color="auto"/>
        <w:right w:val="none" w:sz="0" w:space="0" w:color="auto"/>
      </w:divBdr>
    </w:div>
    <w:div w:id="767434912">
      <w:bodyDiv w:val="1"/>
      <w:marLeft w:val="0"/>
      <w:marRight w:val="0"/>
      <w:marTop w:val="0"/>
      <w:marBottom w:val="0"/>
      <w:divBdr>
        <w:top w:val="none" w:sz="0" w:space="0" w:color="auto"/>
        <w:left w:val="none" w:sz="0" w:space="0" w:color="auto"/>
        <w:bottom w:val="none" w:sz="0" w:space="0" w:color="auto"/>
        <w:right w:val="none" w:sz="0" w:space="0" w:color="auto"/>
      </w:divBdr>
    </w:div>
    <w:div w:id="771820091">
      <w:bodyDiv w:val="1"/>
      <w:marLeft w:val="0"/>
      <w:marRight w:val="0"/>
      <w:marTop w:val="0"/>
      <w:marBottom w:val="0"/>
      <w:divBdr>
        <w:top w:val="none" w:sz="0" w:space="0" w:color="auto"/>
        <w:left w:val="none" w:sz="0" w:space="0" w:color="auto"/>
        <w:bottom w:val="none" w:sz="0" w:space="0" w:color="auto"/>
        <w:right w:val="none" w:sz="0" w:space="0" w:color="auto"/>
      </w:divBdr>
    </w:div>
    <w:div w:id="815219692">
      <w:bodyDiv w:val="1"/>
      <w:marLeft w:val="0"/>
      <w:marRight w:val="0"/>
      <w:marTop w:val="0"/>
      <w:marBottom w:val="0"/>
      <w:divBdr>
        <w:top w:val="none" w:sz="0" w:space="0" w:color="auto"/>
        <w:left w:val="none" w:sz="0" w:space="0" w:color="auto"/>
        <w:bottom w:val="none" w:sz="0" w:space="0" w:color="auto"/>
        <w:right w:val="none" w:sz="0" w:space="0" w:color="auto"/>
      </w:divBdr>
    </w:div>
    <w:div w:id="821655434">
      <w:bodyDiv w:val="1"/>
      <w:marLeft w:val="0"/>
      <w:marRight w:val="0"/>
      <w:marTop w:val="0"/>
      <w:marBottom w:val="0"/>
      <w:divBdr>
        <w:top w:val="none" w:sz="0" w:space="0" w:color="auto"/>
        <w:left w:val="none" w:sz="0" w:space="0" w:color="auto"/>
        <w:bottom w:val="none" w:sz="0" w:space="0" w:color="auto"/>
        <w:right w:val="none" w:sz="0" w:space="0" w:color="auto"/>
      </w:divBdr>
    </w:div>
    <w:div w:id="828129784">
      <w:bodyDiv w:val="1"/>
      <w:marLeft w:val="0"/>
      <w:marRight w:val="0"/>
      <w:marTop w:val="0"/>
      <w:marBottom w:val="0"/>
      <w:divBdr>
        <w:top w:val="none" w:sz="0" w:space="0" w:color="auto"/>
        <w:left w:val="none" w:sz="0" w:space="0" w:color="auto"/>
        <w:bottom w:val="none" w:sz="0" w:space="0" w:color="auto"/>
        <w:right w:val="none" w:sz="0" w:space="0" w:color="auto"/>
      </w:divBdr>
    </w:div>
    <w:div w:id="830372254">
      <w:bodyDiv w:val="1"/>
      <w:marLeft w:val="0"/>
      <w:marRight w:val="0"/>
      <w:marTop w:val="0"/>
      <w:marBottom w:val="0"/>
      <w:divBdr>
        <w:top w:val="none" w:sz="0" w:space="0" w:color="auto"/>
        <w:left w:val="none" w:sz="0" w:space="0" w:color="auto"/>
        <w:bottom w:val="none" w:sz="0" w:space="0" w:color="auto"/>
        <w:right w:val="none" w:sz="0" w:space="0" w:color="auto"/>
      </w:divBdr>
    </w:div>
    <w:div w:id="855264890">
      <w:bodyDiv w:val="1"/>
      <w:marLeft w:val="0"/>
      <w:marRight w:val="0"/>
      <w:marTop w:val="0"/>
      <w:marBottom w:val="0"/>
      <w:divBdr>
        <w:top w:val="none" w:sz="0" w:space="0" w:color="auto"/>
        <w:left w:val="none" w:sz="0" w:space="0" w:color="auto"/>
        <w:bottom w:val="none" w:sz="0" w:space="0" w:color="auto"/>
        <w:right w:val="none" w:sz="0" w:space="0" w:color="auto"/>
      </w:divBdr>
    </w:div>
    <w:div w:id="856113330">
      <w:bodyDiv w:val="1"/>
      <w:marLeft w:val="0"/>
      <w:marRight w:val="0"/>
      <w:marTop w:val="0"/>
      <w:marBottom w:val="0"/>
      <w:divBdr>
        <w:top w:val="none" w:sz="0" w:space="0" w:color="auto"/>
        <w:left w:val="none" w:sz="0" w:space="0" w:color="auto"/>
        <w:bottom w:val="none" w:sz="0" w:space="0" w:color="auto"/>
        <w:right w:val="none" w:sz="0" w:space="0" w:color="auto"/>
      </w:divBdr>
    </w:div>
    <w:div w:id="882643717">
      <w:bodyDiv w:val="1"/>
      <w:marLeft w:val="0"/>
      <w:marRight w:val="0"/>
      <w:marTop w:val="0"/>
      <w:marBottom w:val="0"/>
      <w:divBdr>
        <w:top w:val="none" w:sz="0" w:space="0" w:color="auto"/>
        <w:left w:val="none" w:sz="0" w:space="0" w:color="auto"/>
        <w:bottom w:val="none" w:sz="0" w:space="0" w:color="auto"/>
        <w:right w:val="none" w:sz="0" w:space="0" w:color="auto"/>
      </w:divBdr>
    </w:div>
    <w:div w:id="885946735">
      <w:bodyDiv w:val="1"/>
      <w:marLeft w:val="0"/>
      <w:marRight w:val="0"/>
      <w:marTop w:val="0"/>
      <w:marBottom w:val="0"/>
      <w:divBdr>
        <w:top w:val="none" w:sz="0" w:space="0" w:color="auto"/>
        <w:left w:val="none" w:sz="0" w:space="0" w:color="auto"/>
        <w:bottom w:val="none" w:sz="0" w:space="0" w:color="auto"/>
        <w:right w:val="none" w:sz="0" w:space="0" w:color="auto"/>
      </w:divBdr>
    </w:div>
    <w:div w:id="902183477">
      <w:bodyDiv w:val="1"/>
      <w:marLeft w:val="0"/>
      <w:marRight w:val="0"/>
      <w:marTop w:val="0"/>
      <w:marBottom w:val="0"/>
      <w:divBdr>
        <w:top w:val="none" w:sz="0" w:space="0" w:color="auto"/>
        <w:left w:val="none" w:sz="0" w:space="0" w:color="auto"/>
        <w:bottom w:val="none" w:sz="0" w:space="0" w:color="auto"/>
        <w:right w:val="none" w:sz="0" w:space="0" w:color="auto"/>
      </w:divBdr>
    </w:div>
    <w:div w:id="915674283">
      <w:bodyDiv w:val="1"/>
      <w:marLeft w:val="0"/>
      <w:marRight w:val="0"/>
      <w:marTop w:val="0"/>
      <w:marBottom w:val="0"/>
      <w:divBdr>
        <w:top w:val="none" w:sz="0" w:space="0" w:color="auto"/>
        <w:left w:val="none" w:sz="0" w:space="0" w:color="auto"/>
        <w:bottom w:val="none" w:sz="0" w:space="0" w:color="auto"/>
        <w:right w:val="none" w:sz="0" w:space="0" w:color="auto"/>
      </w:divBdr>
    </w:div>
    <w:div w:id="918293578">
      <w:bodyDiv w:val="1"/>
      <w:marLeft w:val="0"/>
      <w:marRight w:val="0"/>
      <w:marTop w:val="0"/>
      <w:marBottom w:val="0"/>
      <w:divBdr>
        <w:top w:val="none" w:sz="0" w:space="0" w:color="auto"/>
        <w:left w:val="none" w:sz="0" w:space="0" w:color="auto"/>
        <w:bottom w:val="none" w:sz="0" w:space="0" w:color="auto"/>
        <w:right w:val="none" w:sz="0" w:space="0" w:color="auto"/>
      </w:divBdr>
    </w:div>
    <w:div w:id="923881780">
      <w:bodyDiv w:val="1"/>
      <w:marLeft w:val="0"/>
      <w:marRight w:val="0"/>
      <w:marTop w:val="0"/>
      <w:marBottom w:val="0"/>
      <w:divBdr>
        <w:top w:val="none" w:sz="0" w:space="0" w:color="auto"/>
        <w:left w:val="none" w:sz="0" w:space="0" w:color="auto"/>
        <w:bottom w:val="none" w:sz="0" w:space="0" w:color="auto"/>
        <w:right w:val="none" w:sz="0" w:space="0" w:color="auto"/>
      </w:divBdr>
    </w:div>
    <w:div w:id="924344304">
      <w:bodyDiv w:val="1"/>
      <w:marLeft w:val="0"/>
      <w:marRight w:val="0"/>
      <w:marTop w:val="0"/>
      <w:marBottom w:val="0"/>
      <w:divBdr>
        <w:top w:val="none" w:sz="0" w:space="0" w:color="auto"/>
        <w:left w:val="none" w:sz="0" w:space="0" w:color="auto"/>
        <w:bottom w:val="none" w:sz="0" w:space="0" w:color="auto"/>
        <w:right w:val="none" w:sz="0" w:space="0" w:color="auto"/>
      </w:divBdr>
    </w:div>
    <w:div w:id="924655288">
      <w:bodyDiv w:val="1"/>
      <w:marLeft w:val="0"/>
      <w:marRight w:val="0"/>
      <w:marTop w:val="0"/>
      <w:marBottom w:val="0"/>
      <w:divBdr>
        <w:top w:val="none" w:sz="0" w:space="0" w:color="auto"/>
        <w:left w:val="none" w:sz="0" w:space="0" w:color="auto"/>
        <w:bottom w:val="none" w:sz="0" w:space="0" w:color="auto"/>
        <w:right w:val="none" w:sz="0" w:space="0" w:color="auto"/>
      </w:divBdr>
    </w:div>
    <w:div w:id="927806613">
      <w:bodyDiv w:val="1"/>
      <w:marLeft w:val="0"/>
      <w:marRight w:val="0"/>
      <w:marTop w:val="0"/>
      <w:marBottom w:val="0"/>
      <w:divBdr>
        <w:top w:val="none" w:sz="0" w:space="0" w:color="auto"/>
        <w:left w:val="none" w:sz="0" w:space="0" w:color="auto"/>
        <w:bottom w:val="none" w:sz="0" w:space="0" w:color="auto"/>
        <w:right w:val="none" w:sz="0" w:space="0" w:color="auto"/>
      </w:divBdr>
    </w:div>
    <w:div w:id="956910962">
      <w:bodyDiv w:val="1"/>
      <w:marLeft w:val="0"/>
      <w:marRight w:val="0"/>
      <w:marTop w:val="0"/>
      <w:marBottom w:val="0"/>
      <w:divBdr>
        <w:top w:val="none" w:sz="0" w:space="0" w:color="auto"/>
        <w:left w:val="none" w:sz="0" w:space="0" w:color="auto"/>
        <w:bottom w:val="none" w:sz="0" w:space="0" w:color="auto"/>
        <w:right w:val="none" w:sz="0" w:space="0" w:color="auto"/>
      </w:divBdr>
    </w:div>
    <w:div w:id="957495322">
      <w:bodyDiv w:val="1"/>
      <w:marLeft w:val="0"/>
      <w:marRight w:val="0"/>
      <w:marTop w:val="0"/>
      <w:marBottom w:val="0"/>
      <w:divBdr>
        <w:top w:val="none" w:sz="0" w:space="0" w:color="auto"/>
        <w:left w:val="none" w:sz="0" w:space="0" w:color="auto"/>
        <w:bottom w:val="none" w:sz="0" w:space="0" w:color="auto"/>
        <w:right w:val="none" w:sz="0" w:space="0" w:color="auto"/>
      </w:divBdr>
    </w:div>
    <w:div w:id="960108281">
      <w:bodyDiv w:val="1"/>
      <w:marLeft w:val="0"/>
      <w:marRight w:val="0"/>
      <w:marTop w:val="0"/>
      <w:marBottom w:val="0"/>
      <w:divBdr>
        <w:top w:val="none" w:sz="0" w:space="0" w:color="auto"/>
        <w:left w:val="none" w:sz="0" w:space="0" w:color="auto"/>
        <w:bottom w:val="none" w:sz="0" w:space="0" w:color="auto"/>
        <w:right w:val="none" w:sz="0" w:space="0" w:color="auto"/>
      </w:divBdr>
    </w:div>
    <w:div w:id="961419846">
      <w:bodyDiv w:val="1"/>
      <w:marLeft w:val="0"/>
      <w:marRight w:val="0"/>
      <w:marTop w:val="0"/>
      <w:marBottom w:val="0"/>
      <w:divBdr>
        <w:top w:val="none" w:sz="0" w:space="0" w:color="auto"/>
        <w:left w:val="none" w:sz="0" w:space="0" w:color="auto"/>
        <w:bottom w:val="none" w:sz="0" w:space="0" w:color="auto"/>
        <w:right w:val="none" w:sz="0" w:space="0" w:color="auto"/>
      </w:divBdr>
    </w:div>
    <w:div w:id="963928782">
      <w:bodyDiv w:val="1"/>
      <w:marLeft w:val="0"/>
      <w:marRight w:val="0"/>
      <w:marTop w:val="0"/>
      <w:marBottom w:val="0"/>
      <w:divBdr>
        <w:top w:val="none" w:sz="0" w:space="0" w:color="auto"/>
        <w:left w:val="none" w:sz="0" w:space="0" w:color="auto"/>
        <w:bottom w:val="none" w:sz="0" w:space="0" w:color="auto"/>
        <w:right w:val="none" w:sz="0" w:space="0" w:color="auto"/>
      </w:divBdr>
    </w:div>
    <w:div w:id="978412779">
      <w:bodyDiv w:val="1"/>
      <w:marLeft w:val="0"/>
      <w:marRight w:val="0"/>
      <w:marTop w:val="0"/>
      <w:marBottom w:val="0"/>
      <w:divBdr>
        <w:top w:val="none" w:sz="0" w:space="0" w:color="auto"/>
        <w:left w:val="none" w:sz="0" w:space="0" w:color="auto"/>
        <w:bottom w:val="none" w:sz="0" w:space="0" w:color="auto"/>
        <w:right w:val="none" w:sz="0" w:space="0" w:color="auto"/>
      </w:divBdr>
    </w:div>
    <w:div w:id="979769153">
      <w:bodyDiv w:val="1"/>
      <w:marLeft w:val="0"/>
      <w:marRight w:val="0"/>
      <w:marTop w:val="0"/>
      <w:marBottom w:val="0"/>
      <w:divBdr>
        <w:top w:val="none" w:sz="0" w:space="0" w:color="auto"/>
        <w:left w:val="none" w:sz="0" w:space="0" w:color="auto"/>
        <w:bottom w:val="none" w:sz="0" w:space="0" w:color="auto"/>
        <w:right w:val="none" w:sz="0" w:space="0" w:color="auto"/>
      </w:divBdr>
    </w:div>
    <w:div w:id="983199474">
      <w:bodyDiv w:val="1"/>
      <w:marLeft w:val="0"/>
      <w:marRight w:val="0"/>
      <w:marTop w:val="0"/>
      <w:marBottom w:val="0"/>
      <w:divBdr>
        <w:top w:val="none" w:sz="0" w:space="0" w:color="auto"/>
        <w:left w:val="none" w:sz="0" w:space="0" w:color="auto"/>
        <w:bottom w:val="none" w:sz="0" w:space="0" w:color="auto"/>
        <w:right w:val="none" w:sz="0" w:space="0" w:color="auto"/>
      </w:divBdr>
    </w:div>
    <w:div w:id="991643486">
      <w:bodyDiv w:val="1"/>
      <w:marLeft w:val="0"/>
      <w:marRight w:val="0"/>
      <w:marTop w:val="0"/>
      <w:marBottom w:val="0"/>
      <w:divBdr>
        <w:top w:val="none" w:sz="0" w:space="0" w:color="auto"/>
        <w:left w:val="none" w:sz="0" w:space="0" w:color="auto"/>
        <w:bottom w:val="none" w:sz="0" w:space="0" w:color="auto"/>
        <w:right w:val="none" w:sz="0" w:space="0" w:color="auto"/>
      </w:divBdr>
    </w:div>
    <w:div w:id="1008866852">
      <w:bodyDiv w:val="1"/>
      <w:marLeft w:val="0"/>
      <w:marRight w:val="0"/>
      <w:marTop w:val="0"/>
      <w:marBottom w:val="0"/>
      <w:divBdr>
        <w:top w:val="none" w:sz="0" w:space="0" w:color="auto"/>
        <w:left w:val="none" w:sz="0" w:space="0" w:color="auto"/>
        <w:bottom w:val="none" w:sz="0" w:space="0" w:color="auto"/>
        <w:right w:val="none" w:sz="0" w:space="0" w:color="auto"/>
      </w:divBdr>
    </w:div>
    <w:div w:id="1021124616">
      <w:bodyDiv w:val="1"/>
      <w:marLeft w:val="0"/>
      <w:marRight w:val="0"/>
      <w:marTop w:val="0"/>
      <w:marBottom w:val="0"/>
      <w:divBdr>
        <w:top w:val="none" w:sz="0" w:space="0" w:color="auto"/>
        <w:left w:val="none" w:sz="0" w:space="0" w:color="auto"/>
        <w:bottom w:val="none" w:sz="0" w:space="0" w:color="auto"/>
        <w:right w:val="none" w:sz="0" w:space="0" w:color="auto"/>
      </w:divBdr>
    </w:div>
    <w:div w:id="1027145954">
      <w:bodyDiv w:val="1"/>
      <w:marLeft w:val="0"/>
      <w:marRight w:val="0"/>
      <w:marTop w:val="0"/>
      <w:marBottom w:val="0"/>
      <w:divBdr>
        <w:top w:val="none" w:sz="0" w:space="0" w:color="auto"/>
        <w:left w:val="none" w:sz="0" w:space="0" w:color="auto"/>
        <w:bottom w:val="none" w:sz="0" w:space="0" w:color="auto"/>
        <w:right w:val="none" w:sz="0" w:space="0" w:color="auto"/>
      </w:divBdr>
    </w:div>
    <w:div w:id="1028415391">
      <w:bodyDiv w:val="1"/>
      <w:marLeft w:val="0"/>
      <w:marRight w:val="0"/>
      <w:marTop w:val="0"/>
      <w:marBottom w:val="0"/>
      <w:divBdr>
        <w:top w:val="none" w:sz="0" w:space="0" w:color="auto"/>
        <w:left w:val="none" w:sz="0" w:space="0" w:color="auto"/>
        <w:bottom w:val="none" w:sz="0" w:space="0" w:color="auto"/>
        <w:right w:val="none" w:sz="0" w:space="0" w:color="auto"/>
      </w:divBdr>
    </w:div>
    <w:div w:id="1031612772">
      <w:bodyDiv w:val="1"/>
      <w:marLeft w:val="0"/>
      <w:marRight w:val="0"/>
      <w:marTop w:val="0"/>
      <w:marBottom w:val="0"/>
      <w:divBdr>
        <w:top w:val="none" w:sz="0" w:space="0" w:color="auto"/>
        <w:left w:val="none" w:sz="0" w:space="0" w:color="auto"/>
        <w:bottom w:val="none" w:sz="0" w:space="0" w:color="auto"/>
        <w:right w:val="none" w:sz="0" w:space="0" w:color="auto"/>
      </w:divBdr>
    </w:div>
    <w:div w:id="1071196630">
      <w:bodyDiv w:val="1"/>
      <w:marLeft w:val="0"/>
      <w:marRight w:val="0"/>
      <w:marTop w:val="0"/>
      <w:marBottom w:val="0"/>
      <w:divBdr>
        <w:top w:val="none" w:sz="0" w:space="0" w:color="auto"/>
        <w:left w:val="none" w:sz="0" w:space="0" w:color="auto"/>
        <w:bottom w:val="none" w:sz="0" w:space="0" w:color="auto"/>
        <w:right w:val="none" w:sz="0" w:space="0" w:color="auto"/>
      </w:divBdr>
    </w:div>
    <w:div w:id="1078210170">
      <w:bodyDiv w:val="1"/>
      <w:marLeft w:val="0"/>
      <w:marRight w:val="0"/>
      <w:marTop w:val="0"/>
      <w:marBottom w:val="0"/>
      <w:divBdr>
        <w:top w:val="none" w:sz="0" w:space="0" w:color="auto"/>
        <w:left w:val="none" w:sz="0" w:space="0" w:color="auto"/>
        <w:bottom w:val="none" w:sz="0" w:space="0" w:color="auto"/>
        <w:right w:val="none" w:sz="0" w:space="0" w:color="auto"/>
      </w:divBdr>
    </w:div>
    <w:div w:id="1093165978">
      <w:bodyDiv w:val="1"/>
      <w:marLeft w:val="0"/>
      <w:marRight w:val="0"/>
      <w:marTop w:val="0"/>
      <w:marBottom w:val="0"/>
      <w:divBdr>
        <w:top w:val="none" w:sz="0" w:space="0" w:color="auto"/>
        <w:left w:val="none" w:sz="0" w:space="0" w:color="auto"/>
        <w:bottom w:val="none" w:sz="0" w:space="0" w:color="auto"/>
        <w:right w:val="none" w:sz="0" w:space="0" w:color="auto"/>
      </w:divBdr>
    </w:div>
    <w:div w:id="1102797935">
      <w:bodyDiv w:val="1"/>
      <w:marLeft w:val="0"/>
      <w:marRight w:val="0"/>
      <w:marTop w:val="0"/>
      <w:marBottom w:val="0"/>
      <w:divBdr>
        <w:top w:val="none" w:sz="0" w:space="0" w:color="auto"/>
        <w:left w:val="none" w:sz="0" w:space="0" w:color="auto"/>
        <w:bottom w:val="none" w:sz="0" w:space="0" w:color="auto"/>
        <w:right w:val="none" w:sz="0" w:space="0" w:color="auto"/>
      </w:divBdr>
    </w:div>
    <w:div w:id="1126237240">
      <w:bodyDiv w:val="1"/>
      <w:marLeft w:val="0"/>
      <w:marRight w:val="0"/>
      <w:marTop w:val="0"/>
      <w:marBottom w:val="0"/>
      <w:divBdr>
        <w:top w:val="none" w:sz="0" w:space="0" w:color="auto"/>
        <w:left w:val="none" w:sz="0" w:space="0" w:color="auto"/>
        <w:bottom w:val="none" w:sz="0" w:space="0" w:color="auto"/>
        <w:right w:val="none" w:sz="0" w:space="0" w:color="auto"/>
      </w:divBdr>
    </w:div>
    <w:div w:id="1132015920">
      <w:bodyDiv w:val="1"/>
      <w:marLeft w:val="0"/>
      <w:marRight w:val="0"/>
      <w:marTop w:val="0"/>
      <w:marBottom w:val="0"/>
      <w:divBdr>
        <w:top w:val="none" w:sz="0" w:space="0" w:color="auto"/>
        <w:left w:val="none" w:sz="0" w:space="0" w:color="auto"/>
        <w:bottom w:val="none" w:sz="0" w:space="0" w:color="auto"/>
        <w:right w:val="none" w:sz="0" w:space="0" w:color="auto"/>
      </w:divBdr>
    </w:div>
    <w:div w:id="1138761466">
      <w:bodyDiv w:val="1"/>
      <w:marLeft w:val="0"/>
      <w:marRight w:val="0"/>
      <w:marTop w:val="0"/>
      <w:marBottom w:val="0"/>
      <w:divBdr>
        <w:top w:val="none" w:sz="0" w:space="0" w:color="auto"/>
        <w:left w:val="none" w:sz="0" w:space="0" w:color="auto"/>
        <w:bottom w:val="none" w:sz="0" w:space="0" w:color="auto"/>
        <w:right w:val="none" w:sz="0" w:space="0" w:color="auto"/>
      </w:divBdr>
    </w:div>
    <w:div w:id="1146245823">
      <w:bodyDiv w:val="1"/>
      <w:marLeft w:val="0"/>
      <w:marRight w:val="0"/>
      <w:marTop w:val="0"/>
      <w:marBottom w:val="0"/>
      <w:divBdr>
        <w:top w:val="none" w:sz="0" w:space="0" w:color="auto"/>
        <w:left w:val="none" w:sz="0" w:space="0" w:color="auto"/>
        <w:bottom w:val="none" w:sz="0" w:space="0" w:color="auto"/>
        <w:right w:val="none" w:sz="0" w:space="0" w:color="auto"/>
      </w:divBdr>
    </w:div>
    <w:div w:id="1158616105">
      <w:bodyDiv w:val="1"/>
      <w:marLeft w:val="0"/>
      <w:marRight w:val="0"/>
      <w:marTop w:val="0"/>
      <w:marBottom w:val="0"/>
      <w:divBdr>
        <w:top w:val="none" w:sz="0" w:space="0" w:color="auto"/>
        <w:left w:val="none" w:sz="0" w:space="0" w:color="auto"/>
        <w:bottom w:val="none" w:sz="0" w:space="0" w:color="auto"/>
        <w:right w:val="none" w:sz="0" w:space="0" w:color="auto"/>
      </w:divBdr>
    </w:div>
    <w:div w:id="1177504803">
      <w:bodyDiv w:val="1"/>
      <w:marLeft w:val="0"/>
      <w:marRight w:val="0"/>
      <w:marTop w:val="0"/>
      <w:marBottom w:val="0"/>
      <w:divBdr>
        <w:top w:val="none" w:sz="0" w:space="0" w:color="auto"/>
        <w:left w:val="none" w:sz="0" w:space="0" w:color="auto"/>
        <w:bottom w:val="none" w:sz="0" w:space="0" w:color="auto"/>
        <w:right w:val="none" w:sz="0" w:space="0" w:color="auto"/>
      </w:divBdr>
    </w:div>
    <w:div w:id="1179269659">
      <w:bodyDiv w:val="1"/>
      <w:marLeft w:val="0"/>
      <w:marRight w:val="0"/>
      <w:marTop w:val="0"/>
      <w:marBottom w:val="0"/>
      <w:divBdr>
        <w:top w:val="none" w:sz="0" w:space="0" w:color="auto"/>
        <w:left w:val="none" w:sz="0" w:space="0" w:color="auto"/>
        <w:bottom w:val="none" w:sz="0" w:space="0" w:color="auto"/>
        <w:right w:val="none" w:sz="0" w:space="0" w:color="auto"/>
      </w:divBdr>
    </w:div>
    <w:div w:id="1190145100">
      <w:bodyDiv w:val="1"/>
      <w:marLeft w:val="0"/>
      <w:marRight w:val="0"/>
      <w:marTop w:val="0"/>
      <w:marBottom w:val="0"/>
      <w:divBdr>
        <w:top w:val="none" w:sz="0" w:space="0" w:color="auto"/>
        <w:left w:val="none" w:sz="0" w:space="0" w:color="auto"/>
        <w:bottom w:val="none" w:sz="0" w:space="0" w:color="auto"/>
        <w:right w:val="none" w:sz="0" w:space="0" w:color="auto"/>
      </w:divBdr>
    </w:div>
    <w:div w:id="1193227978">
      <w:bodyDiv w:val="1"/>
      <w:marLeft w:val="0"/>
      <w:marRight w:val="0"/>
      <w:marTop w:val="0"/>
      <w:marBottom w:val="0"/>
      <w:divBdr>
        <w:top w:val="none" w:sz="0" w:space="0" w:color="auto"/>
        <w:left w:val="none" w:sz="0" w:space="0" w:color="auto"/>
        <w:bottom w:val="none" w:sz="0" w:space="0" w:color="auto"/>
        <w:right w:val="none" w:sz="0" w:space="0" w:color="auto"/>
      </w:divBdr>
    </w:div>
    <w:div w:id="1200969265">
      <w:bodyDiv w:val="1"/>
      <w:marLeft w:val="0"/>
      <w:marRight w:val="0"/>
      <w:marTop w:val="0"/>
      <w:marBottom w:val="0"/>
      <w:divBdr>
        <w:top w:val="none" w:sz="0" w:space="0" w:color="auto"/>
        <w:left w:val="none" w:sz="0" w:space="0" w:color="auto"/>
        <w:bottom w:val="none" w:sz="0" w:space="0" w:color="auto"/>
        <w:right w:val="none" w:sz="0" w:space="0" w:color="auto"/>
      </w:divBdr>
    </w:div>
    <w:div w:id="1207525852">
      <w:bodyDiv w:val="1"/>
      <w:marLeft w:val="0"/>
      <w:marRight w:val="0"/>
      <w:marTop w:val="0"/>
      <w:marBottom w:val="0"/>
      <w:divBdr>
        <w:top w:val="none" w:sz="0" w:space="0" w:color="auto"/>
        <w:left w:val="none" w:sz="0" w:space="0" w:color="auto"/>
        <w:bottom w:val="none" w:sz="0" w:space="0" w:color="auto"/>
        <w:right w:val="none" w:sz="0" w:space="0" w:color="auto"/>
      </w:divBdr>
    </w:div>
    <w:div w:id="1221138702">
      <w:bodyDiv w:val="1"/>
      <w:marLeft w:val="0"/>
      <w:marRight w:val="0"/>
      <w:marTop w:val="0"/>
      <w:marBottom w:val="0"/>
      <w:divBdr>
        <w:top w:val="none" w:sz="0" w:space="0" w:color="auto"/>
        <w:left w:val="none" w:sz="0" w:space="0" w:color="auto"/>
        <w:bottom w:val="none" w:sz="0" w:space="0" w:color="auto"/>
        <w:right w:val="none" w:sz="0" w:space="0" w:color="auto"/>
      </w:divBdr>
    </w:div>
    <w:div w:id="1227299724">
      <w:bodyDiv w:val="1"/>
      <w:marLeft w:val="0"/>
      <w:marRight w:val="0"/>
      <w:marTop w:val="0"/>
      <w:marBottom w:val="0"/>
      <w:divBdr>
        <w:top w:val="none" w:sz="0" w:space="0" w:color="auto"/>
        <w:left w:val="none" w:sz="0" w:space="0" w:color="auto"/>
        <w:bottom w:val="none" w:sz="0" w:space="0" w:color="auto"/>
        <w:right w:val="none" w:sz="0" w:space="0" w:color="auto"/>
      </w:divBdr>
    </w:div>
    <w:div w:id="1278832321">
      <w:bodyDiv w:val="1"/>
      <w:marLeft w:val="0"/>
      <w:marRight w:val="0"/>
      <w:marTop w:val="0"/>
      <w:marBottom w:val="0"/>
      <w:divBdr>
        <w:top w:val="none" w:sz="0" w:space="0" w:color="auto"/>
        <w:left w:val="none" w:sz="0" w:space="0" w:color="auto"/>
        <w:bottom w:val="none" w:sz="0" w:space="0" w:color="auto"/>
        <w:right w:val="none" w:sz="0" w:space="0" w:color="auto"/>
      </w:divBdr>
    </w:div>
    <w:div w:id="1283926543">
      <w:bodyDiv w:val="1"/>
      <w:marLeft w:val="0"/>
      <w:marRight w:val="0"/>
      <w:marTop w:val="0"/>
      <w:marBottom w:val="0"/>
      <w:divBdr>
        <w:top w:val="none" w:sz="0" w:space="0" w:color="auto"/>
        <w:left w:val="none" w:sz="0" w:space="0" w:color="auto"/>
        <w:bottom w:val="none" w:sz="0" w:space="0" w:color="auto"/>
        <w:right w:val="none" w:sz="0" w:space="0" w:color="auto"/>
      </w:divBdr>
    </w:div>
    <w:div w:id="1296106819">
      <w:bodyDiv w:val="1"/>
      <w:marLeft w:val="0"/>
      <w:marRight w:val="0"/>
      <w:marTop w:val="0"/>
      <w:marBottom w:val="0"/>
      <w:divBdr>
        <w:top w:val="none" w:sz="0" w:space="0" w:color="auto"/>
        <w:left w:val="none" w:sz="0" w:space="0" w:color="auto"/>
        <w:bottom w:val="none" w:sz="0" w:space="0" w:color="auto"/>
        <w:right w:val="none" w:sz="0" w:space="0" w:color="auto"/>
      </w:divBdr>
    </w:div>
    <w:div w:id="1324046173">
      <w:bodyDiv w:val="1"/>
      <w:marLeft w:val="0"/>
      <w:marRight w:val="0"/>
      <w:marTop w:val="0"/>
      <w:marBottom w:val="0"/>
      <w:divBdr>
        <w:top w:val="none" w:sz="0" w:space="0" w:color="auto"/>
        <w:left w:val="none" w:sz="0" w:space="0" w:color="auto"/>
        <w:bottom w:val="none" w:sz="0" w:space="0" w:color="auto"/>
        <w:right w:val="none" w:sz="0" w:space="0" w:color="auto"/>
      </w:divBdr>
    </w:div>
    <w:div w:id="1329022101">
      <w:bodyDiv w:val="1"/>
      <w:marLeft w:val="0"/>
      <w:marRight w:val="0"/>
      <w:marTop w:val="0"/>
      <w:marBottom w:val="0"/>
      <w:divBdr>
        <w:top w:val="none" w:sz="0" w:space="0" w:color="auto"/>
        <w:left w:val="none" w:sz="0" w:space="0" w:color="auto"/>
        <w:bottom w:val="none" w:sz="0" w:space="0" w:color="auto"/>
        <w:right w:val="none" w:sz="0" w:space="0" w:color="auto"/>
      </w:divBdr>
    </w:div>
    <w:div w:id="1329165491">
      <w:bodyDiv w:val="1"/>
      <w:marLeft w:val="0"/>
      <w:marRight w:val="0"/>
      <w:marTop w:val="0"/>
      <w:marBottom w:val="0"/>
      <w:divBdr>
        <w:top w:val="none" w:sz="0" w:space="0" w:color="auto"/>
        <w:left w:val="none" w:sz="0" w:space="0" w:color="auto"/>
        <w:bottom w:val="none" w:sz="0" w:space="0" w:color="auto"/>
        <w:right w:val="none" w:sz="0" w:space="0" w:color="auto"/>
      </w:divBdr>
    </w:div>
    <w:div w:id="1341737422">
      <w:bodyDiv w:val="1"/>
      <w:marLeft w:val="0"/>
      <w:marRight w:val="0"/>
      <w:marTop w:val="0"/>
      <w:marBottom w:val="0"/>
      <w:divBdr>
        <w:top w:val="none" w:sz="0" w:space="0" w:color="auto"/>
        <w:left w:val="none" w:sz="0" w:space="0" w:color="auto"/>
        <w:bottom w:val="none" w:sz="0" w:space="0" w:color="auto"/>
        <w:right w:val="none" w:sz="0" w:space="0" w:color="auto"/>
      </w:divBdr>
    </w:div>
    <w:div w:id="1343824163">
      <w:bodyDiv w:val="1"/>
      <w:marLeft w:val="0"/>
      <w:marRight w:val="0"/>
      <w:marTop w:val="0"/>
      <w:marBottom w:val="0"/>
      <w:divBdr>
        <w:top w:val="none" w:sz="0" w:space="0" w:color="auto"/>
        <w:left w:val="none" w:sz="0" w:space="0" w:color="auto"/>
        <w:bottom w:val="none" w:sz="0" w:space="0" w:color="auto"/>
        <w:right w:val="none" w:sz="0" w:space="0" w:color="auto"/>
      </w:divBdr>
    </w:div>
    <w:div w:id="1354767408">
      <w:bodyDiv w:val="1"/>
      <w:marLeft w:val="0"/>
      <w:marRight w:val="0"/>
      <w:marTop w:val="0"/>
      <w:marBottom w:val="0"/>
      <w:divBdr>
        <w:top w:val="none" w:sz="0" w:space="0" w:color="auto"/>
        <w:left w:val="none" w:sz="0" w:space="0" w:color="auto"/>
        <w:bottom w:val="none" w:sz="0" w:space="0" w:color="auto"/>
        <w:right w:val="none" w:sz="0" w:space="0" w:color="auto"/>
      </w:divBdr>
    </w:div>
    <w:div w:id="1369529631">
      <w:bodyDiv w:val="1"/>
      <w:marLeft w:val="0"/>
      <w:marRight w:val="0"/>
      <w:marTop w:val="0"/>
      <w:marBottom w:val="0"/>
      <w:divBdr>
        <w:top w:val="none" w:sz="0" w:space="0" w:color="auto"/>
        <w:left w:val="none" w:sz="0" w:space="0" w:color="auto"/>
        <w:bottom w:val="none" w:sz="0" w:space="0" w:color="auto"/>
        <w:right w:val="none" w:sz="0" w:space="0" w:color="auto"/>
      </w:divBdr>
    </w:div>
    <w:div w:id="1373656768">
      <w:bodyDiv w:val="1"/>
      <w:marLeft w:val="0"/>
      <w:marRight w:val="0"/>
      <w:marTop w:val="0"/>
      <w:marBottom w:val="0"/>
      <w:divBdr>
        <w:top w:val="none" w:sz="0" w:space="0" w:color="auto"/>
        <w:left w:val="none" w:sz="0" w:space="0" w:color="auto"/>
        <w:bottom w:val="none" w:sz="0" w:space="0" w:color="auto"/>
        <w:right w:val="none" w:sz="0" w:space="0" w:color="auto"/>
      </w:divBdr>
    </w:div>
    <w:div w:id="1391617777">
      <w:bodyDiv w:val="1"/>
      <w:marLeft w:val="0"/>
      <w:marRight w:val="0"/>
      <w:marTop w:val="0"/>
      <w:marBottom w:val="0"/>
      <w:divBdr>
        <w:top w:val="none" w:sz="0" w:space="0" w:color="auto"/>
        <w:left w:val="none" w:sz="0" w:space="0" w:color="auto"/>
        <w:bottom w:val="none" w:sz="0" w:space="0" w:color="auto"/>
        <w:right w:val="none" w:sz="0" w:space="0" w:color="auto"/>
      </w:divBdr>
    </w:div>
    <w:div w:id="1403062434">
      <w:bodyDiv w:val="1"/>
      <w:marLeft w:val="0"/>
      <w:marRight w:val="0"/>
      <w:marTop w:val="0"/>
      <w:marBottom w:val="0"/>
      <w:divBdr>
        <w:top w:val="none" w:sz="0" w:space="0" w:color="auto"/>
        <w:left w:val="none" w:sz="0" w:space="0" w:color="auto"/>
        <w:bottom w:val="none" w:sz="0" w:space="0" w:color="auto"/>
        <w:right w:val="none" w:sz="0" w:space="0" w:color="auto"/>
      </w:divBdr>
    </w:div>
    <w:div w:id="1404256065">
      <w:bodyDiv w:val="1"/>
      <w:marLeft w:val="0"/>
      <w:marRight w:val="0"/>
      <w:marTop w:val="0"/>
      <w:marBottom w:val="0"/>
      <w:divBdr>
        <w:top w:val="none" w:sz="0" w:space="0" w:color="auto"/>
        <w:left w:val="none" w:sz="0" w:space="0" w:color="auto"/>
        <w:bottom w:val="none" w:sz="0" w:space="0" w:color="auto"/>
        <w:right w:val="none" w:sz="0" w:space="0" w:color="auto"/>
      </w:divBdr>
    </w:div>
    <w:div w:id="1417826026">
      <w:bodyDiv w:val="1"/>
      <w:marLeft w:val="0"/>
      <w:marRight w:val="0"/>
      <w:marTop w:val="0"/>
      <w:marBottom w:val="0"/>
      <w:divBdr>
        <w:top w:val="none" w:sz="0" w:space="0" w:color="auto"/>
        <w:left w:val="none" w:sz="0" w:space="0" w:color="auto"/>
        <w:bottom w:val="none" w:sz="0" w:space="0" w:color="auto"/>
        <w:right w:val="none" w:sz="0" w:space="0" w:color="auto"/>
      </w:divBdr>
    </w:div>
    <w:div w:id="1425490012">
      <w:bodyDiv w:val="1"/>
      <w:marLeft w:val="0"/>
      <w:marRight w:val="0"/>
      <w:marTop w:val="0"/>
      <w:marBottom w:val="0"/>
      <w:divBdr>
        <w:top w:val="none" w:sz="0" w:space="0" w:color="auto"/>
        <w:left w:val="none" w:sz="0" w:space="0" w:color="auto"/>
        <w:bottom w:val="none" w:sz="0" w:space="0" w:color="auto"/>
        <w:right w:val="none" w:sz="0" w:space="0" w:color="auto"/>
      </w:divBdr>
    </w:div>
    <w:div w:id="1433821691">
      <w:bodyDiv w:val="1"/>
      <w:marLeft w:val="0"/>
      <w:marRight w:val="0"/>
      <w:marTop w:val="0"/>
      <w:marBottom w:val="0"/>
      <w:divBdr>
        <w:top w:val="none" w:sz="0" w:space="0" w:color="auto"/>
        <w:left w:val="none" w:sz="0" w:space="0" w:color="auto"/>
        <w:bottom w:val="none" w:sz="0" w:space="0" w:color="auto"/>
        <w:right w:val="none" w:sz="0" w:space="0" w:color="auto"/>
      </w:divBdr>
    </w:div>
    <w:div w:id="1436243092">
      <w:bodyDiv w:val="1"/>
      <w:marLeft w:val="0"/>
      <w:marRight w:val="0"/>
      <w:marTop w:val="0"/>
      <w:marBottom w:val="0"/>
      <w:divBdr>
        <w:top w:val="none" w:sz="0" w:space="0" w:color="auto"/>
        <w:left w:val="none" w:sz="0" w:space="0" w:color="auto"/>
        <w:bottom w:val="none" w:sz="0" w:space="0" w:color="auto"/>
        <w:right w:val="none" w:sz="0" w:space="0" w:color="auto"/>
      </w:divBdr>
    </w:div>
    <w:div w:id="1439443522">
      <w:bodyDiv w:val="1"/>
      <w:marLeft w:val="0"/>
      <w:marRight w:val="0"/>
      <w:marTop w:val="0"/>
      <w:marBottom w:val="0"/>
      <w:divBdr>
        <w:top w:val="none" w:sz="0" w:space="0" w:color="auto"/>
        <w:left w:val="none" w:sz="0" w:space="0" w:color="auto"/>
        <w:bottom w:val="none" w:sz="0" w:space="0" w:color="auto"/>
        <w:right w:val="none" w:sz="0" w:space="0" w:color="auto"/>
      </w:divBdr>
    </w:div>
    <w:div w:id="1447507704">
      <w:bodyDiv w:val="1"/>
      <w:marLeft w:val="0"/>
      <w:marRight w:val="0"/>
      <w:marTop w:val="0"/>
      <w:marBottom w:val="0"/>
      <w:divBdr>
        <w:top w:val="none" w:sz="0" w:space="0" w:color="auto"/>
        <w:left w:val="none" w:sz="0" w:space="0" w:color="auto"/>
        <w:bottom w:val="none" w:sz="0" w:space="0" w:color="auto"/>
        <w:right w:val="none" w:sz="0" w:space="0" w:color="auto"/>
      </w:divBdr>
    </w:div>
    <w:div w:id="1454400562">
      <w:bodyDiv w:val="1"/>
      <w:marLeft w:val="0"/>
      <w:marRight w:val="0"/>
      <w:marTop w:val="0"/>
      <w:marBottom w:val="0"/>
      <w:divBdr>
        <w:top w:val="none" w:sz="0" w:space="0" w:color="auto"/>
        <w:left w:val="none" w:sz="0" w:space="0" w:color="auto"/>
        <w:bottom w:val="none" w:sz="0" w:space="0" w:color="auto"/>
        <w:right w:val="none" w:sz="0" w:space="0" w:color="auto"/>
      </w:divBdr>
    </w:div>
    <w:div w:id="1455755826">
      <w:bodyDiv w:val="1"/>
      <w:marLeft w:val="0"/>
      <w:marRight w:val="0"/>
      <w:marTop w:val="0"/>
      <w:marBottom w:val="0"/>
      <w:divBdr>
        <w:top w:val="none" w:sz="0" w:space="0" w:color="auto"/>
        <w:left w:val="none" w:sz="0" w:space="0" w:color="auto"/>
        <w:bottom w:val="none" w:sz="0" w:space="0" w:color="auto"/>
        <w:right w:val="none" w:sz="0" w:space="0" w:color="auto"/>
      </w:divBdr>
    </w:div>
    <w:div w:id="1457094167">
      <w:bodyDiv w:val="1"/>
      <w:marLeft w:val="0"/>
      <w:marRight w:val="0"/>
      <w:marTop w:val="0"/>
      <w:marBottom w:val="0"/>
      <w:divBdr>
        <w:top w:val="none" w:sz="0" w:space="0" w:color="auto"/>
        <w:left w:val="none" w:sz="0" w:space="0" w:color="auto"/>
        <w:bottom w:val="none" w:sz="0" w:space="0" w:color="auto"/>
        <w:right w:val="none" w:sz="0" w:space="0" w:color="auto"/>
      </w:divBdr>
    </w:div>
    <w:div w:id="1464999104">
      <w:bodyDiv w:val="1"/>
      <w:marLeft w:val="0"/>
      <w:marRight w:val="0"/>
      <w:marTop w:val="0"/>
      <w:marBottom w:val="0"/>
      <w:divBdr>
        <w:top w:val="none" w:sz="0" w:space="0" w:color="auto"/>
        <w:left w:val="none" w:sz="0" w:space="0" w:color="auto"/>
        <w:bottom w:val="none" w:sz="0" w:space="0" w:color="auto"/>
        <w:right w:val="none" w:sz="0" w:space="0" w:color="auto"/>
      </w:divBdr>
    </w:div>
    <w:div w:id="1481311489">
      <w:bodyDiv w:val="1"/>
      <w:marLeft w:val="0"/>
      <w:marRight w:val="0"/>
      <w:marTop w:val="0"/>
      <w:marBottom w:val="0"/>
      <w:divBdr>
        <w:top w:val="none" w:sz="0" w:space="0" w:color="auto"/>
        <w:left w:val="none" w:sz="0" w:space="0" w:color="auto"/>
        <w:bottom w:val="none" w:sz="0" w:space="0" w:color="auto"/>
        <w:right w:val="none" w:sz="0" w:space="0" w:color="auto"/>
      </w:divBdr>
    </w:div>
    <w:div w:id="1482313063">
      <w:bodyDiv w:val="1"/>
      <w:marLeft w:val="0"/>
      <w:marRight w:val="0"/>
      <w:marTop w:val="0"/>
      <w:marBottom w:val="0"/>
      <w:divBdr>
        <w:top w:val="none" w:sz="0" w:space="0" w:color="auto"/>
        <w:left w:val="none" w:sz="0" w:space="0" w:color="auto"/>
        <w:bottom w:val="none" w:sz="0" w:space="0" w:color="auto"/>
        <w:right w:val="none" w:sz="0" w:space="0" w:color="auto"/>
      </w:divBdr>
    </w:div>
    <w:div w:id="1499422699">
      <w:bodyDiv w:val="1"/>
      <w:marLeft w:val="0"/>
      <w:marRight w:val="0"/>
      <w:marTop w:val="0"/>
      <w:marBottom w:val="0"/>
      <w:divBdr>
        <w:top w:val="none" w:sz="0" w:space="0" w:color="auto"/>
        <w:left w:val="none" w:sz="0" w:space="0" w:color="auto"/>
        <w:bottom w:val="none" w:sz="0" w:space="0" w:color="auto"/>
        <w:right w:val="none" w:sz="0" w:space="0" w:color="auto"/>
      </w:divBdr>
    </w:div>
    <w:div w:id="1518887097">
      <w:bodyDiv w:val="1"/>
      <w:marLeft w:val="0"/>
      <w:marRight w:val="0"/>
      <w:marTop w:val="0"/>
      <w:marBottom w:val="0"/>
      <w:divBdr>
        <w:top w:val="none" w:sz="0" w:space="0" w:color="auto"/>
        <w:left w:val="none" w:sz="0" w:space="0" w:color="auto"/>
        <w:bottom w:val="none" w:sz="0" w:space="0" w:color="auto"/>
        <w:right w:val="none" w:sz="0" w:space="0" w:color="auto"/>
      </w:divBdr>
    </w:div>
    <w:div w:id="1521775648">
      <w:bodyDiv w:val="1"/>
      <w:marLeft w:val="0"/>
      <w:marRight w:val="0"/>
      <w:marTop w:val="0"/>
      <w:marBottom w:val="0"/>
      <w:divBdr>
        <w:top w:val="none" w:sz="0" w:space="0" w:color="auto"/>
        <w:left w:val="none" w:sz="0" w:space="0" w:color="auto"/>
        <w:bottom w:val="none" w:sz="0" w:space="0" w:color="auto"/>
        <w:right w:val="none" w:sz="0" w:space="0" w:color="auto"/>
      </w:divBdr>
    </w:div>
    <w:div w:id="1546601879">
      <w:bodyDiv w:val="1"/>
      <w:marLeft w:val="0"/>
      <w:marRight w:val="0"/>
      <w:marTop w:val="0"/>
      <w:marBottom w:val="0"/>
      <w:divBdr>
        <w:top w:val="none" w:sz="0" w:space="0" w:color="auto"/>
        <w:left w:val="none" w:sz="0" w:space="0" w:color="auto"/>
        <w:bottom w:val="none" w:sz="0" w:space="0" w:color="auto"/>
        <w:right w:val="none" w:sz="0" w:space="0" w:color="auto"/>
      </w:divBdr>
    </w:div>
    <w:div w:id="1549563069">
      <w:bodyDiv w:val="1"/>
      <w:marLeft w:val="0"/>
      <w:marRight w:val="0"/>
      <w:marTop w:val="0"/>
      <w:marBottom w:val="0"/>
      <w:divBdr>
        <w:top w:val="none" w:sz="0" w:space="0" w:color="auto"/>
        <w:left w:val="none" w:sz="0" w:space="0" w:color="auto"/>
        <w:bottom w:val="none" w:sz="0" w:space="0" w:color="auto"/>
        <w:right w:val="none" w:sz="0" w:space="0" w:color="auto"/>
      </w:divBdr>
    </w:div>
    <w:div w:id="1550608315">
      <w:bodyDiv w:val="1"/>
      <w:marLeft w:val="0"/>
      <w:marRight w:val="0"/>
      <w:marTop w:val="0"/>
      <w:marBottom w:val="0"/>
      <w:divBdr>
        <w:top w:val="none" w:sz="0" w:space="0" w:color="auto"/>
        <w:left w:val="none" w:sz="0" w:space="0" w:color="auto"/>
        <w:bottom w:val="none" w:sz="0" w:space="0" w:color="auto"/>
        <w:right w:val="none" w:sz="0" w:space="0" w:color="auto"/>
      </w:divBdr>
    </w:div>
    <w:div w:id="1571766872">
      <w:bodyDiv w:val="1"/>
      <w:marLeft w:val="0"/>
      <w:marRight w:val="0"/>
      <w:marTop w:val="0"/>
      <w:marBottom w:val="0"/>
      <w:divBdr>
        <w:top w:val="none" w:sz="0" w:space="0" w:color="auto"/>
        <w:left w:val="none" w:sz="0" w:space="0" w:color="auto"/>
        <w:bottom w:val="none" w:sz="0" w:space="0" w:color="auto"/>
        <w:right w:val="none" w:sz="0" w:space="0" w:color="auto"/>
      </w:divBdr>
    </w:div>
    <w:div w:id="1594893448">
      <w:bodyDiv w:val="1"/>
      <w:marLeft w:val="0"/>
      <w:marRight w:val="0"/>
      <w:marTop w:val="0"/>
      <w:marBottom w:val="0"/>
      <w:divBdr>
        <w:top w:val="none" w:sz="0" w:space="0" w:color="auto"/>
        <w:left w:val="none" w:sz="0" w:space="0" w:color="auto"/>
        <w:bottom w:val="none" w:sz="0" w:space="0" w:color="auto"/>
        <w:right w:val="none" w:sz="0" w:space="0" w:color="auto"/>
      </w:divBdr>
    </w:div>
    <w:div w:id="1605453126">
      <w:bodyDiv w:val="1"/>
      <w:marLeft w:val="0"/>
      <w:marRight w:val="0"/>
      <w:marTop w:val="0"/>
      <w:marBottom w:val="0"/>
      <w:divBdr>
        <w:top w:val="none" w:sz="0" w:space="0" w:color="auto"/>
        <w:left w:val="none" w:sz="0" w:space="0" w:color="auto"/>
        <w:bottom w:val="none" w:sz="0" w:space="0" w:color="auto"/>
        <w:right w:val="none" w:sz="0" w:space="0" w:color="auto"/>
      </w:divBdr>
    </w:div>
    <w:div w:id="1608079146">
      <w:bodyDiv w:val="1"/>
      <w:marLeft w:val="0"/>
      <w:marRight w:val="0"/>
      <w:marTop w:val="0"/>
      <w:marBottom w:val="0"/>
      <w:divBdr>
        <w:top w:val="none" w:sz="0" w:space="0" w:color="auto"/>
        <w:left w:val="none" w:sz="0" w:space="0" w:color="auto"/>
        <w:bottom w:val="none" w:sz="0" w:space="0" w:color="auto"/>
        <w:right w:val="none" w:sz="0" w:space="0" w:color="auto"/>
      </w:divBdr>
    </w:div>
    <w:div w:id="1608124691">
      <w:bodyDiv w:val="1"/>
      <w:marLeft w:val="0"/>
      <w:marRight w:val="0"/>
      <w:marTop w:val="0"/>
      <w:marBottom w:val="0"/>
      <w:divBdr>
        <w:top w:val="none" w:sz="0" w:space="0" w:color="auto"/>
        <w:left w:val="none" w:sz="0" w:space="0" w:color="auto"/>
        <w:bottom w:val="none" w:sz="0" w:space="0" w:color="auto"/>
        <w:right w:val="none" w:sz="0" w:space="0" w:color="auto"/>
      </w:divBdr>
    </w:div>
    <w:div w:id="1611820260">
      <w:bodyDiv w:val="1"/>
      <w:marLeft w:val="0"/>
      <w:marRight w:val="0"/>
      <w:marTop w:val="0"/>
      <w:marBottom w:val="0"/>
      <w:divBdr>
        <w:top w:val="none" w:sz="0" w:space="0" w:color="auto"/>
        <w:left w:val="none" w:sz="0" w:space="0" w:color="auto"/>
        <w:bottom w:val="none" w:sz="0" w:space="0" w:color="auto"/>
        <w:right w:val="none" w:sz="0" w:space="0" w:color="auto"/>
      </w:divBdr>
    </w:div>
    <w:div w:id="1621374947">
      <w:bodyDiv w:val="1"/>
      <w:marLeft w:val="0"/>
      <w:marRight w:val="0"/>
      <w:marTop w:val="0"/>
      <w:marBottom w:val="0"/>
      <w:divBdr>
        <w:top w:val="none" w:sz="0" w:space="0" w:color="auto"/>
        <w:left w:val="none" w:sz="0" w:space="0" w:color="auto"/>
        <w:bottom w:val="none" w:sz="0" w:space="0" w:color="auto"/>
        <w:right w:val="none" w:sz="0" w:space="0" w:color="auto"/>
      </w:divBdr>
    </w:div>
    <w:div w:id="1660421014">
      <w:bodyDiv w:val="1"/>
      <w:marLeft w:val="0"/>
      <w:marRight w:val="0"/>
      <w:marTop w:val="0"/>
      <w:marBottom w:val="0"/>
      <w:divBdr>
        <w:top w:val="none" w:sz="0" w:space="0" w:color="auto"/>
        <w:left w:val="none" w:sz="0" w:space="0" w:color="auto"/>
        <w:bottom w:val="none" w:sz="0" w:space="0" w:color="auto"/>
        <w:right w:val="none" w:sz="0" w:space="0" w:color="auto"/>
      </w:divBdr>
    </w:div>
    <w:div w:id="1662928756">
      <w:bodyDiv w:val="1"/>
      <w:marLeft w:val="0"/>
      <w:marRight w:val="0"/>
      <w:marTop w:val="0"/>
      <w:marBottom w:val="0"/>
      <w:divBdr>
        <w:top w:val="none" w:sz="0" w:space="0" w:color="auto"/>
        <w:left w:val="none" w:sz="0" w:space="0" w:color="auto"/>
        <w:bottom w:val="none" w:sz="0" w:space="0" w:color="auto"/>
        <w:right w:val="none" w:sz="0" w:space="0" w:color="auto"/>
      </w:divBdr>
    </w:div>
    <w:div w:id="1674062438">
      <w:bodyDiv w:val="1"/>
      <w:marLeft w:val="0"/>
      <w:marRight w:val="0"/>
      <w:marTop w:val="0"/>
      <w:marBottom w:val="0"/>
      <w:divBdr>
        <w:top w:val="none" w:sz="0" w:space="0" w:color="auto"/>
        <w:left w:val="none" w:sz="0" w:space="0" w:color="auto"/>
        <w:bottom w:val="none" w:sz="0" w:space="0" w:color="auto"/>
        <w:right w:val="none" w:sz="0" w:space="0" w:color="auto"/>
      </w:divBdr>
    </w:div>
    <w:div w:id="1674720421">
      <w:bodyDiv w:val="1"/>
      <w:marLeft w:val="0"/>
      <w:marRight w:val="0"/>
      <w:marTop w:val="0"/>
      <w:marBottom w:val="0"/>
      <w:divBdr>
        <w:top w:val="none" w:sz="0" w:space="0" w:color="auto"/>
        <w:left w:val="none" w:sz="0" w:space="0" w:color="auto"/>
        <w:bottom w:val="none" w:sz="0" w:space="0" w:color="auto"/>
        <w:right w:val="none" w:sz="0" w:space="0" w:color="auto"/>
      </w:divBdr>
    </w:div>
    <w:div w:id="1703362455">
      <w:bodyDiv w:val="1"/>
      <w:marLeft w:val="0"/>
      <w:marRight w:val="0"/>
      <w:marTop w:val="0"/>
      <w:marBottom w:val="0"/>
      <w:divBdr>
        <w:top w:val="none" w:sz="0" w:space="0" w:color="auto"/>
        <w:left w:val="none" w:sz="0" w:space="0" w:color="auto"/>
        <w:bottom w:val="none" w:sz="0" w:space="0" w:color="auto"/>
        <w:right w:val="none" w:sz="0" w:space="0" w:color="auto"/>
      </w:divBdr>
    </w:div>
    <w:div w:id="1705248597">
      <w:bodyDiv w:val="1"/>
      <w:marLeft w:val="0"/>
      <w:marRight w:val="0"/>
      <w:marTop w:val="0"/>
      <w:marBottom w:val="0"/>
      <w:divBdr>
        <w:top w:val="none" w:sz="0" w:space="0" w:color="auto"/>
        <w:left w:val="none" w:sz="0" w:space="0" w:color="auto"/>
        <w:bottom w:val="none" w:sz="0" w:space="0" w:color="auto"/>
        <w:right w:val="none" w:sz="0" w:space="0" w:color="auto"/>
      </w:divBdr>
    </w:div>
    <w:div w:id="1716584828">
      <w:bodyDiv w:val="1"/>
      <w:marLeft w:val="0"/>
      <w:marRight w:val="0"/>
      <w:marTop w:val="0"/>
      <w:marBottom w:val="0"/>
      <w:divBdr>
        <w:top w:val="none" w:sz="0" w:space="0" w:color="auto"/>
        <w:left w:val="none" w:sz="0" w:space="0" w:color="auto"/>
        <w:bottom w:val="none" w:sz="0" w:space="0" w:color="auto"/>
        <w:right w:val="none" w:sz="0" w:space="0" w:color="auto"/>
      </w:divBdr>
    </w:div>
    <w:div w:id="1732342556">
      <w:bodyDiv w:val="1"/>
      <w:marLeft w:val="0"/>
      <w:marRight w:val="0"/>
      <w:marTop w:val="0"/>
      <w:marBottom w:val="0"/>
      <w:divBdr>
        <w:top w:val="none" w:sz="0" w:space="0" w:color="auto"/>
        <w:left w:val="none" w:sz="0" w:space="0" w:color="auto"/>
        <w:bottom w:val="none" w:sz="0" w:space="0" w:color="auto"/>
        <w:right w:val="none" w:sz="0" w:space="0" w:color="auto"/>
      </w:divBdr>
    </w:div>
    <w:div w:id="1807314891">
      <w:bodyDiv w:val="1"/>
      <w:marLeft w:val="0"/>
      <w:marRight w:val="0"/>
      <w:marTop w:val="0"/>
      <w:marBottom w:val="0"/>
      <w:divBdr>
        <w:top w:val="none" w:sz="0" w:space="0" w:color="auto"/>
        <w:left w:val="none" w:sz="0" w:space="0" w:color="auto"/>
        <w:bottom w:val="none" w:sz="0" w:space="0" w:color="auto"/>
        <w:right w:val="none" w:sz="0" w:space="0" w:color="auto"/>
      </w:divBdr>
    </w:div>
    <w:div w:id="1829705547">
      <w:bodyDiv w:val="1"/>
      <w:marLeft w:val="0"/>
      <w:marRight w:val="0"/>
      <w:marTop w:val="0"/>
      <w:marBottom w:val="0"/>
      <w:divBdr>
        <w:top w:val="none" w:sz="0" w:space="0" w:color="auto"/>
        <w:left w:val="none" w:sz="0" w:space="0" w:color="auto"/>
        <w:bottom w:val="none" w:sz="0" w:space="0" w:color="auto"/>
        <w:right w:val="none" w:sz="0" w:space="0" w:color="auto"/>
      </w:divBdr>
    </w:div>
    <w:div w:id="1829789355">
      <w:bodyDiv w:val="1"/>
      <w:marLeft w:val="0"/>
      <w:marRight w:val="0"/>
      <w:marTop w:val="0"/>
      <w:marBottom w:val="0"/>
      <w:divBdr>
        <w:top w:val="none" w:sz="0" w:space="0" w:color="auto"/>
        <w:left w:val="none" w:sz="0" w:space="0" w:color="auto"/>
        <w:bottom w:val="none" w:sz="0" w:space="0" w:color="auto"/>
        <w:right w:val="none" w:sz="0" w:space="0" w:color="auto"/>
      </w:divBdr>
    </w:div>
    <w:div w:id="1839155365">
      <w:bodyDiv w:val="1"/>
      <w:marLeft w:val="0"/>
      <w:marRight w:val="0"/>
      <w:marTop w:val="0"/>
      <w:marBottom w:val="0"/>
      <w:divBdr>
        <w:top w:val="none" w:sz="0" w:space="0" w:color="auto"/>
        <w:left w:val="none" w:sz="0" w:space="0" w:color="auto"/>
        <w:bottom w:val="none" w:sz="0" w:space="0" w:color="auto"/>
        <w:right w:val="none" w:sz="0" w:space="0" w:color="auto"/>
      </w:divBdr>
    </w:div>
    <w:div w:id="1850093621">
      <w:bodyDiv w:val="1"/>
      <w:marLeft w:val="0"/>
      <w:marRight w:val="0"/>
      <w:marTop w:val="0"/>
      <w:marBottom w:val="0"/>
      <w:divBdr>
        <w:top w:val="none" w:sz="0" w:space="0" w:color="auto"/>
        <w:left w:val="none" w:sz="0" w:space="0" w:color="auto"/>
        <w:bottom w:val="none" w:sz="0" w:space="0" w:color="auto"/>
        <w:right w:val="none" w:sz="0" w:space="0" w:color="auto"/>
      </w:divBdr>
    </w:div>
    <w:div w:id="1877765856">
      <w:bodyDiv w:val="1"/>
      <w:marLeft w:val="0"/>
      <w:marRight w:val="0"/>
      <w:marTop w:val="0"/>
      <w:marBottom w:val="0"/>
      <w:divBdr>
        <w:top w:val="none" w:sz="0" w:space="0" w:color="auto"/>
        <w:left w:val="none" w:sz="0" w:space="0" w:color="auto"/>
        <w:bottom w:val="none" w:sz="0" w:space="0" w:color="auto"/>
        <w:right w:val="none" w:sz="0" w:space="0" w:color="auto"/>
      </w:divBdr>
    </w:div>
    <w:div w:id="1903833325">
      <w:bodyDiv w:val="1"/>
      <w:marLeft w:val="0"/>
      <w:marRight w:val="0"/>
      <w:marTop w:val="0"/>
      <w:marBottom w:val="0"/>
      <w:divBdr>
        <w:top w:val="none" w:sz="0" w:space="0" w:color="auto"/>
        <w:left w:val="none" w:sz="0" w:space="0" w:color="auto"/>
        <w:bottom w:val="none" w:sz="0" w:space="0" w:color="auto"/>
        <w:right w:val="none" w:sz="0" w:space="0" w:color="auto"/>
      </w:divBdr>
    </w:div>
    <w:div w:id="1926063385">
      <w:bodyDiv w:val="1"/>
      <w:marLeft w:val="0"/>
      <w:marRight w:val="0"/>
      <w:marTop w:val="0"/>
      <w:marBottom w:val="0"/>
      <w:divBdr>
        <w:top w:val="none" w:sz="0" w:space="0" w:color="auto"/>
        <w:left w:val="none" w:sz="0" w:space="0" w:color="auto"/>
        <w:bottom w:val="none" w:sz="0" w:space="0" w:color="auto"/>
        <w:right w:val="none" w:sz="0" w:space="0" w:color="auto"/>
      </w:divBdr>
    </w:div>
    <w:div w:id="1952784522">
      <w:bodyDiv w:val="1"/>
      <w:marLeft w:val="0"/>
      <w:marRight w:val="0"/>
      <w:marTop w:val="0"/>
      <w:marBottom w:val="0"/>
      <w:divBdr>
        <w:top w:val="none" w:sz="0" w:space="0" w:color="auto"/>
        <w:left w:val="none" w:sz="0" w:space="0" w:color="auto"/>
        <w:bottom w:val="none" w:sz="0" w:space="0" w:color="auto"/>
        <w:right w:val="none" w:sz="0" w:space="0" w:color="auto"/>
      </w:divBdr>
    </w:div>
    <w:div w:id="1967614184">
      <w:bodyDiv w:val="1"/>
      <w:marLeft w:val="0"/>
      <w:marRight w:val="0"/>
      <w:marTop w:val="0"/>
      <w:marBottom w:val="0"/>
      <w:divBdr>
        <w:top w:val="none" w:sz="0" w:space="0" w:color="auto"/>
        <w:left w:val="none" w:sz="0" w:space="0" w:color="auto"/>
        <w:bottom w:val="none" w:sz="0" w:space="0" w:color="auto"/>
        <w:right w:val="none" w:sz="0" w:space="0" w:color="auto"/>
      </w:divBdr>
    </w:div>
    <w:div w:id="1983345063">
      <w:bodyDiv w:val="1"/>
      <w:marLeft w:val="0"/>
      <w:marRight w:val="0"/>
      <w:marTop w:val="0"/>
      <w:marBottom w:val="0"/>
      <w:divBdr>
        <w:top w:val="none" w:sz="0" w:space="0" w:color="auto"/>
        <w:left w:val="none" w:sz="0" w:space="0" w:color="auto"/>
        <w:bottom w:val="none" w:sz="0" w:space="0" w:color="auto"/>
        <w:right w:val="none" w:sz="0" w:space="0" w:color="auto"/>
      </w:divBdr>
    </w:div>
    <w:div w:id="1986425564">
      <w:bodyDiv w:val="1"/>
      <w:marLeft w:val="0"/>
      <w:marRight w:val="0"/>
      <w:marTop w:val="0"/>
      <w:marBottom w:val="0"/>
      <w:divBdr>
        <w:top w:val="none" w:sz="0" w:space="0" w:color="auto"/>
        <w:left w:val="none" w:sz="0" w:space="0" w:color="auto"/>
        <w:bottom w:val="none" w:sz="0" w:space="0" w:color="auto"/>
        <w:right w:val="none" w:sz="0" w:space="0" w:color="auto"/>
      </w:divBdr>
    </w:div>
    <w:div w:id="1987855521">
      <w:bodyDiv w:val="1"/>
      <w:marLeft w:val="0"/>
      <w:marRight w:val="0"/>
      <w:marTop w:val="0"/>
      <w:marBottom w:val="0"/>
      <w:divBdr>
        <w:top w:val="none" w:sz="0" w:space="0" w:color="auto"/>
        <w:left w:val="none" w:sz="0" w:space="0" w:color="auto"/>
        <w:bottom w:val="none" w:sz="0" w:space="0" w:color="auto"/>
        <w:right w:val="none" w:sz="0" w:space="0" w:color="auto"/>
      </w:divBdr>
    </w:div>
    <w:div w:id="1991471668">
      <w:bodyDiv w:val="1"/>
      <w:marLeft w:val="0"/>
      <w:marRight w:val="0"/>
      <w:marTop w:val="0"/>
      <w:marBottom w:val="0"/>
      <w:divBdr>
        <w:top w:val="none" w:sz="0" w:space="0" w:color="auto"/>
        <w:left w:val="none" w:sz="0" w:space="0" w:color="auto"/>
        <w:bottom w:val="none" w:sz="0" w:space="0" w:color="auto"/>
        <w:right w:val="none" w:sz="0" w:space="0" w:color="auto"/>
      </w:divBdr>
    </w:div>
    <w:div w:id="2075811308">
      <w:bodyDiv w:val="1"/>
      <w:marLeft w:val="0"/>
      <w:marRight w:val="0"/>
      <w:marTop w:val="0"/>
      <w:marBottom w:val="0"/>
      <w:divBdr>
        <w:top w:val="none" w:sz="0" w:space="0" w:color="auto"/>
        <w:left w:val="none" w:sz="0" w:space="0" w:color="auto"/>
        <w:bottom w:val="none" w:sz="0" w:space="0" w:color="auto"/>
        <w:right w:val="none" w:sz="0" w:space="0" w:color="auto"/>
      </w:divBdr>
    </w:div>
    <w:div w:id="2106337738">
      <w:bodyDiv w:val="1"/>
      <w:marLeft w:val="0"/>
      <w:marRight w:val="0"/>
      <w:marTop w:val="0"/>
      <w:marBottom w:val="0"/>
      <w:divBdr>
        <w:top w:val="none" w:sz="0" w:space="0" w:color="auto"/>
        <w:left w:val="none" w:sz="0" w:space="0" w:color="auto"/>
        <w:bottom w:val="none" w:sz="0" w:space="0" w:color="auto"/>
        <w:right w:val="none" w:sz="0" w:space="0" w:color="auto"/>
      </w:divBdr>
    </w:div>
    <w:div w:id="2124611748">
      <w:bodyDiv w:val="1"/>
      <w:marLeft w:val="0"/>
      <w:marRight w:val="0"/>
      <w:marTop w:val="0"/>
      <w:marBottom w:val="0"/>
      <w:divBdr>
        <w:top w:val="none" w:sz="0" w:space="0" w:color="auto"/>
        <w:left w:val="none" w:sz="0" w:space="0" w:color="auto"/>
        <w:bottom w:val="none" w:sz="0" w:space="0" w:color="auto"/>
        <w:right w:val="none" w:sz="0" w:space="0" w:color="auto"/>
      </w:divBdr>
    </w:div>
    <w:div w:id="21455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13.e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5000171421</EngagementID>
  <LogicalEMSServerID>-1277219289491571460</LogicalEMSServerID>
  <WorkingPaperID>3325562335600002551</WorkingPaperID>
</DAEMSEngagementItemInfo>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EDA5-3A7F-4E38-AA8C-32F4E0714D0A}">
  <ds:schemaRefs>
    <ds:schemaRef ds:uri="http://schemas.microsoft.com/DAEMSEngagementItemInfoXML"/>
  </ds:schemaRefs>
</ds:datastoreItem>
</file>

<file path=customXml/itemProps2.xml><?xml version="1.0" encoding="utf-8"?>
<ds:datastoreItem xmlns:ds="http://schemas.openxmlformats.org/officeDocument/2006/customXml" ds:itemID="{32BF1E06-5DCC-4544-8B2A-724522DC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23075</Words>
  <Characters>131528</Characters>
  <Application>Microsoft Office Word</Application>
  <DocSecurity>0</DocSecurity>
  <Lines>1096</Lines>
  <Paragraphs>308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NAPOLIPARK S</vt:lpstr>
      <vt:lpstr>NAPOLIPARK S</vt:lpstr>
    </vt:vector>
  </TitlesOfParts>
  <Company>xxx</Company>
  <LinksUpToDate>false</LinksUpToDate>
  <CharactersWithSpaces>154295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NAPOLIPARK S</dc:title>
  <dc:subject/>
  <dc:creator>m.damone</dc:creator>
  <cp:keywords/>
  <cp:lastModifiedBy>Esposito Assia</cp:lastModifiedBy>
  <cp:revision>3</cp:revision>
  <cp:lastPrinted>2021-02-05T09:24:00Z</cp:lastPrinted>
  <dcterms:created xsi:type="dcterms:W3CDTF">2021-03-03T10:17:00Z</dcterms:created>
  <dcterms:modified xsi:type="dcterms:W3CDTF">2021-03-03T10:17:00Z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4f673-923e-4cdb-8bf1-dfcce5b5c514_Enabled">
    <vt:lpwstr>True</vt:lpwstr>
  </property>
  <property fmtid="{D5CDD505-2E9C-101B-9397-08002B2CF9AE}" pid="3" name="MSIP_Label_b244f673-923e-4cdb-8bf1-dfcce5b5c514_SiteId">
    <vt:lpwstr>36da45f1-dd2c-4d1f-af13-5abe46b99921</vt:lpwstr>
  </property>
  <property fmtid="{D5CDD505-2E9C-101B-9397-08002B2CF9AE}" pid="4" name="MSIP_Label_b244f673-923e-4cdb-8bf1-dfcce5b5c514_Owner">
    <vt:lpwstr>evasaturo@deloitte.it</vt:lpwstr>
  </property>
  <property fmtid="{D5CDD505-2E9C-101B-9397-08002B2CF9AE}" pid="5" name="MSIP_Label_b244f673-923e-4cdb-8bf1-dfcce5b5c514_SetDate">
    <vt:lpwstr>2020-12-23T10:47:28.9731793Z</vt:lpwstr>
  </property>
  <property fmtid="{D5CDD505-2E9C-101B-9397-08002B2CF9AE}" pid="6" name="MSIP_Label_b244f673-923e-4cdb-8bf1-dfcce5b5c514_Name">
    <vt:lpwstr>Confidential</vt:lpwstr>
  </property>
  <property fmtid="{D5CDD505-2E9C-101B-9397-08002B2CF9AE}" pid="7" name="MSIP_Label_b244f673-923e-4cdb-8bf1-dfcce5b5c514_Application">
    <vt:lpwstr>Microsoft Azure Information Protection</vt:lpwstr>
  </property>
  <property fmtid="{D5CDD505-2E9C-101B-9397-08002B2CF9AE}" pid="8" name="MSIP_Label_b244f673-923e-4cdb-8bf1-dfcce5b5c514_ActionId">
    <vt:lpwstr>ad32481f-571a-47bc-af71-38978307e02b</vt:lpwstr>
  </property>
  <property fmtid="{D5CDD505-2E9C-101B-9397-08002B2CF9AE}" pid="9" name="MSIP_Label_b244f673-923e-4cdb-8bf1-dfcce5b5c514_Extended_MSFT_Method">
    <vt:lpwstr>Automatic</vt:lpwstr>
  </property>
  <property fmtid="{D5CDD505-2E9C-101B-9397-08002B2CF9AE}" pid="10" name="MSIP_Label_ea60d57e-af5b-4752-ac57-3e4f28ca11dc_Enabled">
    <vt:lpwstr>True</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Owner">
    <vt:lpwstr>evasaturo@deloitte.it</vt:lpwstr>
  </property>
  <property fmtid="{D5CDD505-2E9C-101B-9397-08002B2CF9AE}" pid="13" name="MSIP_Label_ea60d57e-af5b-4752-ac57-3e4f28ca11dc_SetDate">
    <vt:lpwstr>2020-12-23T10:47:28.9731793Z</vt:lpwstr>
  </property>
  <property fmtid="{D5CDD505-2E9C-101B-9397-08002B2CF9AE}" pid="14" name="MSIP_Label_ea60d57e-af5b-4752-ac57-3e4f28ca11dc_Name">
    <vt:lpwstr>No Additional Protection</vt:lpwstr>
  </property>
  <property fmtid="{D5CDD505-2E9C-101B-9397-08002B2CF9AE}" pid="15" name="MSIP_Label_ea60d57e-af5b-4752-ac57-3e4f28ca11dc_Application">
    <vt:lpwstr>Microsoft Azure Information Protection</vt:lpwstr>
  </property>
  <property fmtid="{D5CDD505-2E9C-101B-9397-08002B2CF9AE}" pid="16" name="MSIP_Label_ea60d57e-af5b-4752-ac57-3e4f28ca11dc_ActionId">
    <vt:lpwstr>ad32481f-571a-47bc-af71-38978307e02b</vt:lpwstr>
  </property>
  <property fmtid="{D5CDD505-2E9C-101B-9397-08002B2CF9AE}" pid="17" name="MSIP_Label_ea60d57e-af5b-4752-ac57-3e4f28ca11dc_Parent">
    <vt:lpwstr>b244f673-923e-4cdb-8bf1-dfcce5b5c514</vt:lpwstr>
  </property>
  <property fmtid="{D5CDD505-2E9C-101B-9397-08002B2CF9AE}" pid="18" name="MSIP_Label_ea60d57e-af5b-4752-ac57-3e4f28ca11dc_Extended_MSFT_Method">
    <vt:lpwstr>Automatic</vt:lpwstr>
  </property>
  <property fmtid="{D5CDD505-2E9C-101B-9397-08002B2CF9AE}" pid="19" name="Sensitivity">
    <vt:lpwstr>Confidential No Additional Protection</vt:lpwstr>
  </property>
</Properties>
</file>